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2E86B">
      <w:pPr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</w:rPr>
        <w:t>供应商须知</w:t>
      </w:r>
    </w:p>
    <w:p w14:paraId="7576167B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一、供应商须提供证明材料</w:t>
      </w:r>
    </w:p>
    <w:p w14:paraId="2458EA34">
      <w:pPr>
        <w:spacing w:line="360" w:lineRule="auto"/>
        <w:rPr>
          <w:sz w:val="24"/>
        </w:rPr>
      </w:pPr>
      <w:r>
        <w:rPr>
          <w:rFonts w:hint="eastAsia"/>
          <w:sz w:val="24"/>
        </w:rPr>
        <w:t>1、营业执照、基本开户证明（复印件加盖公章）</w:t>
      </w:r>
    </w:p>
    <w:p w14:paraId="32A0F685">
      <w:pPr>
        <w:spacing w:line="360" w:lineRule="auto"/>
        <w:rPr>
          <w:sz w:val="24"/>
        </w:rPr>
      </w:pPr>
      <w:r>
        <w:rPr>
          <w:rFonts w:hint="eastAsia"/>
          <w:sz w:val="24"/>
        </w:rPr>
        <w:t>2、法定代表人授权委托书及授权代表身份证复印件；</w:t>
      </w:r>
    </w:p>
    <w:p w14:paraId="26598915">
      <w:pPr>
        <w:spacing w:line="360" w:lineRule="auto"/>
        <w:rPr>
          <w:sz w:val="24"/>
        </w:rPr>
      </w:pPr>
      <w:r>
        <w:rPr>
          <w:rFonts w:hint="eastAsia"/>
          <w:sz w:val="24"/>
        </w:rPr>
        <w:t>3、报价表　</w:t>
      </w:r>
    </w:p>
    <w:p w14:paraId="72FE5545">
      <w:pPr>
        <w:spacing w:line="360" w:lineRule="auto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按以上要求提供证相关证件及资料各一份、不可缺项，按顺序装订。</w:t>
      </w:r>
    </w:p>
    <w:p w14:paraId="1B33A8C7">
      <w:pPr>
        <w:spacing w:line="360" w:lineRule="auto"/>
        <w:rPr>
          <w:sz w:val="24"/>
        </w:rPr>
      </w:pPr>
    </w:p>
    <w:p w14:paraId="687EB18F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二、供应商须满足以下要求</w:t>
      </w:r>
    </w:p>
    <w:p w14:paraId="633EC916">
      <w:pPr>
        <w:spacing w:line="360" w:lineRule="auto"/>
        <w:rPr>
          <w:sz w:val="24"/>
        </w:rPr>
      </w:pPr>
      <w:r>
        <w:rPr>
          <w:rFonts w:hint="eastAsia"/>
          <w:sz w:val="24"/>
        </w:rPr>
        <w:t>1、</w:t>
      </w:r>
      <w:r>
        <w:rPr>
          <w:rFonts w:hint="eastAsia"/>
          <w:b/>
          <w:bCs/>
          <w:sz w:val="24"/>
        </w:rPr>
        <w:t>付款方式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出具报告后次月一次付清</w:t>
      </w:r>
    </w:p>
    <w:p w14:paraId="1223BD3F">
      <w:pPr>
        <w:pStyle w:val="4"/>
        <w:spacing w:line="360" w:lineRule="auto"/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asciiTheme="minorHAnsi" w:hAnsiTheme="minorHAnsi"/>
          <w:sz w:val="24"/>
          <w:szCs w:val="24"/>
        </w:rPr>
        <w:t>2</w:t>
      </w:r>
      <w:r>
        <w:rPr>
          <w:rFonts w:hint="default" w:asciiTheme="minorHAnsi" w:hAnsiTheme="minorHAnsi"/>
          <w:sz w:val="24"/>
          <w:szCs w:val="24"/>
        </w:rPr>
        <w:t>、</w:t>
      </w:r>
      <w:r>
        <w:rPr>
          <w:b/>
          <w:bCs/>
          <w:sz w:val="24"/>
          <w:szCs w:val="24"/>
        </w:rPr>
        <w:t>工作期限：</w:t>
      </w: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30日内（包含30日）</w:t>
      </w:r>
    </w:p>
    <w:p w14:paraId="703F59F9"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/>
          <w:b/>
          <w:bCs/>
          <w:sz w:val="24"/>
        </w:rPr>
        <w:t>3、报价：</w:t>
      </w:r>
      <w:r>
        <w:rPr>
          <w:rFonts w:hint="eastAsia" w:ascii="宋体" w:hAnsi="宋体" w:eastAsia="宋体" w:cs="宋体"/>
          <w:sz w:val="24"/>
        </w:rPr>
        <w:t>所报价格必须包含</w:t>
      </w:r>
      <w:r>
        <w:rPr>
          <w:rFonts w:hint="eastAsia" w:ascii="宋体" w:hAnsi="宋体" w:eastAsia="宋体" w:cs="宋体"/>
          <w:sz w:val="24"/>
          <w:lang w:val="en-US" w:eastAsia="zh-CN"/>
        </w:rPr>
        <w:t>餐费</w:t>
      </w:r>
      <w:r>
        <w:rPr>
          <w:rFonts w:hint="eastAsia" w:ascii="宋体" w:hAnsi="宋体" w:eastAsia="宋体" w:cs="宋体"/>
          <w:sz w:val="24"/>
        </w:rPr>
        <w:t>、交通</w:t>
      </w:r>
      <w:r>
        <w:rPr>
          <w:rFonts w:hint="eastAsia" w:ascii="宋体" w:hAnsi="宋体" w:eastAsia="宋体" w:cs="宋体"/>
          <w:sz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lang w:val="en-US" w:eastAsia="zh-CN"/>
        </w:rPr>
        <w:t>答疑</w:t>
      </w:r>
      <w:r>
        <w:rPr>
          <w:rFonts w:hint="eastAsia" w:ascii="宋体" w:hAnsi="宋体" w:eastAsia="宋体" w:cs="宋体"/>
          <w:sz w:val="24"/>
        </w:rPr>
        <w:t>等服务及产生的所有费用。</w:t>
      </w:r>
    </w:p>
    <w:p w14:paraId="159818E4"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4、服务内容及要求：</w:t>
      </w:r>
    </w:p>
    <w:p w14:paraId="1364C569">
      <w:pPr>
        <w:spacing w:line="360" w:lineRule="auto"/>
        <w:ind w:firstLine="480" w:firstLineChars="200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24"/>
          <w:lang w:eastAsia="zh-CN"/>
        </w:rPr>
        <w:t>编写聊城市眼科医院</w:t>
      </w: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2024年度审计报告及经营管理建议书。</w:t>
      </w:r>
    </w:p>
    <w:p w14:paraId="497996E6"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br w:type="page"/>
      </w:r>
    </w:p>
    <w:p w14:paraId="2E870C46">
      <w:pPr>
        <w:spacing w:line="360" w:lineRule="auto"/>
        <w:rPr>
          <w:rFonts w:hint="eastAsia" w:eastAsiaTheme="minorEastAsia"/>
          <w:b w:val="0"/>
          <w:bCs w:val="0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三、</w:t>
      </w:r>
      <w:r>
        <w:rPr>
          <w:rFonts w:hint="eastAsia"/>
          <w:b/>
          <w:bCs/>
          <w:sz w:val="24"/>
          <w:lang w:eastAsia="zh-CN"/>
        </w:rPr>
        <w:t>评分细则</w:t>
      </w:r>
    </w:p>
    <w:tbl>
      <w:tblPr>
        <w:tblStyle w:val="5"/>
        <w:tblW w:w="84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3146"/>
        <w:gridCol w:w="4740"/>
      </w:tblGrid>
      <w:tr w14:paraId="6E0D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C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2702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A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9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E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2F057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1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审计报告服务方案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1F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/>
                <w:sz w:val="24"/>
                <w:szCs w:val="24"/>
              </w:rPr>
              <w:t>针对本项目内容的公司内部管理制度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  <w:szCs w:val="24"/>
              </w:rPr>
              <w:t>保证按时完成派工任务计划安排的合理性、可行性措施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综合评分。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0-3</w:t>
            </w:r>
            <w:r>
              <w:rPr>
                <w:rFonts w:hint="eastAsia" w:ascii="宋体" w:hAnsi="宋体"/>
                <w:sz w:val="24"/>
                <w:szCs w:val="24"/>
              </w:rPr>
              <w:t>分，未提供本项不得分</w:t>
            </w:r>
          </w:p>
          <w:p w14:paraId="0A36AF0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根据供应商针对本项目提供的</w:t>
            </w:r>
            <w:r>
              <w:rPr>
                <w:rFonts w:hint="eastAsia" w:ascii="宋体" w:hAnsi="宋体"/>
                <w:sz w:val="24"/>
                <w:szCs w:val="24"/>
              </w:rPr>
              <w:t>人员配置，审计人员数量、专业结构、职责分工满足本项目要求方案，任务计划安排的合理性、可行性措施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进行综合评分。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分</w:t>
            </w:r>
          </w:p>
        </w:tc>
      </w:tr>
      <w:tr w14:paraId="21848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8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D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 1分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CDC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自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2023年1月1日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（含，以合同签订时间为准）以来，每提供一个类似业绩得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0.5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分，最高得1分。注：需将合同主要内容页的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复印件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附至响应文件中，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否则不得分。</w:t>
            </w:r>
          </w:p>
        </w:tc>
      </w:tr>
    </w:tbl>
    <w:p w14:paraId="1B020B92">
      <w:pPr>
        <w:spacing w:line="360" w:lineRule="auto"/>
        <w:ind w:firstLine="480" w:firstLineChars="200"/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p w14:paraId="769003E7">
      <w:pPr>
        <w:spacing w:line="360" w:lineRule="auto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br w:type="page"/>
      </w:r>
    </w:p>
    <w:p w14:paraId="7AA642C6">
      <w:pPr>
        <w:pStyle w:val="4"/>
        <w:jc w:val="center"/>
        <w:rPr>
          <w:rFonts w:hint="default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4EF12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6F32B3BC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003EA5F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报价项目明细</w:t>
            </w:r>
          </w:p>
        </w:tc>
      </w:tr>
      <w:tr w14:paraId="12B89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5A50B73C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79632945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B8A1AEB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聊城市眼科医院2024年度审计报告及经营管理建议书项目</w:t>
            </w:r>
          </w:p>
        </w:tc>
      </w:tr>
      <w:tr w14:paraId="2B070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3F5B23B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01C1AE2E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项目总报价</w:t>
            </w:r>
          </w:p>
        </w:tc>
        <w:tc>
          <w:tcPr>
            <w:tcW w:w="4841" w:type="dxa"/>
            <w:vAlign w:val="center"/>
          </w:tcPr>
          <w:p w14:paraId="6BC91BA2">
            <w:pPr>
              <w:spacing w:line="500" w:lineRule="exact"/>
              <w:rPr>
                <w:rFonts w:hint="default" w:ascii="宋体" w:eastAsiaTheme="minorEastAsia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大写：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</w:t>
            </w:r>
          </w:p>
          <w:p w14:paraId="611409DE">
            <w:pPr>
              <w:spacing w:line="500" w:lineRule="exact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小写：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  <w:lang w:eastAsia="zh-CN"/>
              </w:rPr>
              <w:t>万元</w:t>
            </w:r>
          </w:p>
        </w:tc>
      </w:tr>
      <w:tr w14:paraId="31D12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1D5C86D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00DAF7A3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4C7B01C6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否</w:t>
            </w:r>
          </w:p>
        </w:tc>
      </w:tr>
      <w:tr w14:paraId="4CD52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10E5F03C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33901544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工期</w:t>
            </w:r>
          </w:p>
        </w:tc>
        <w:tc>
          <w:tcPr>
            <w:tcW w:w="4841" w:type="dxa"/>
            <w:vAlign w:val="center"/>
          </w:tcPr>
          <w:p w14:paraId="7D25D4D4">
            <w:pPr>
              <w:spacing w:line="500" w:lineRule="exact"/>
              <w:ind w:firstLine="1200" w:firstLineChars="500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天</w:t>
            </w:r>
          </w:p>
        </w:tc>
      </w:tr>
    </w:tbl>
    <w:p w14:paraId="5624478A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供应商名称（盖章）：</w:t>
      </w:r>
    </w:p>
    <w:p w14:paraId="67DFA9C2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317DC71D"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A722EA"/>
    <w:rsid w:val="0039352F"/>
    <w:rsid w:val="00536704"/>
    <w:rsid w:val="00611294"/>
    <w:rsid w:val="0069621E"/>
    <w:rsid w:val="00A722EA"/>
    <w:rsid w:val="00BA1548"/>
    <w:rsid w:val="02A227A1"/>
    <w:rsid w:val="03195CE7"/>
    <w:rsid w:val="04BF4C64"/>
    <w:rsid w:val="05D615C1"/>
    <w:rsid w:val="07605EE9"/>
    <w:rsid w:val="098B1995"/>
    <w:rsid w:val="0A7C50CD"/>
    <w:rsid w:val="0AA908BB"/>
    <w:rsid w:val="0DDC3A38"/>
    <w:rsid w:val="0EDB6D55"/>
    <w:rsid w:val="0F221A78"/>
    <w:rsid w:val="11712FB9"/>
    <w:rsid w:val="131F0FDA"/>
    <w:rsid w:val="13546543"/>
    <w:rsid w:val="16076F46"/>
    <w:rsid w:val="16F70EB5"/>
    <w:rsid w:val="1F352F93"/>
    <w:rsid w:val="28920DC2"/>
    <w:rsid w:val="28E924BD"/>
    <w:rsid w:val="2B9531AA"/>
    <w:rsid w:val="2C8A649C"/>
    <w:rsid w:val="2D6825AD"/>
    <w:rsid w:val="300774C8"/>
    <w:rsid w:val="31481E02"/>
    <w:rsid w:val="332A453A"/>
    <w:rsid w:val="34C719E7"/>
    <w:rsid w:val="35D67C36"/>
    <w:rsid w:val="374A05A7"/>
    <w:rsid w:val="384D42A5"/>
    <w:rsid w:val="385A7452"/>
    <w:rsid w:val="3A451DB4"/>
    <w:rsid w:val="411E653D"/>
    <w:rsid w:val="42E842E2"/>
    <w:rsid w:val="4B5F07FC"/>
    <w:rsid w:val="4C1C20FA"/>
    <w:rsid w:val="504E3E24"/>
    <w:rsid w:val="522E1222"/>
    <w:rsid w:val="52A907F9"/>
    <w:rsid w:val="52C353C0"/>
    <w:rsid w:val="54901979"/>
    <w:rsid w:val="54D7436D"/>
    <w:rsid w:val="5D6773B1"/>
    <w:rsid w:val="606856F7"/>
    <w:rsid w:val="641F4E2B"/>
    <w:rsid w:val="659D6464"/>
    <w:rsid w:val="66652D12"/>
    <w:rsid w:val="6675282C"/>
    <w:rsid w:val="68A652DE"/>
    <w:rsid w:val="6C7A7016"/>
    <w:rsid w:val="7133708A"/>
    <w:rsid w:val="715576D5"/>
    <w:rsid w:val="73AE23F9"/>
    <w:rsid w:val="74995C85"/>
    <w:rsid w:val="7590762E"/>
    <w:rsid w:val="78C57A52"/>
    <w:rsid w:val="7B5F033E"/>
    <w:rsid w:val="7D0542F3"/>
    <w:rsid w:val="7D6363DE"/>
    <w:rsid w:val="7FAF1A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unhideWhenUsed/>
    <w:qFormat/>
    <w:uiPriority w:val="39"/>
    <w:rPr>
      <w:rFonts w:hint="eastAsia" w:ascii="宋体" w:hAnsi="Times New Roman" w:eastAsia="宋体" w:cs="Times New Roman"/>
      <w:sz w:val="28"/>
      <w:szCs w:val="2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303</Words>
  <Characters>311</Characters>
  <Lines>2</Lines>
  <Paragraphs>1</Paragraphs>
  <TotalTime>0</TotalTime>
  <ScaleCrop>false</ScaleCrop>
  <LinksUpToDate>false</LinksUpToDate>
  <CharactersWithSpaces>338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2022-08-13T01:04:00Z</cp:lastPrinted>
  <dcterms:modified xsi:type="dcterms:W3CDTF">2025-03-18T00:43:47Z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F82105417A504BE7A509A0FF97E0E514_13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