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6B244A">
      <w:pPr>
        <w:numPr>
          <w:ilvl w:val="0"/>
          <w:numId w:val="0"/>
        </w:num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  <w:t>供应商须知</w:t>
      </w:r>
    </w:p>
    <w:p w14:paraId="782D462D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一、供应商须提供证明材料</w:t>
      </w:r>
    </w:p>
    <w:p w14:paraId="093B8030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1、营业执照（复印件加盖公章）</w:t>
      </w:r>
    </w:p>
    <w:p w14:paraId="47979480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2、法定代表人授权委托书及授权代表身份证复印件；</w:t>
      </w:r>
    </w:p>
    <w:p w14:paraId="5FA95475">
      <w:pPr>
        <w:numPr>
          <w:ilvl w:val="0"/>
          <w:numId w:val="0"/>
        </w:numPr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3、报价表</w:t>
      </w:r>
    </w:p>
    <w:p w14:paraId="64FF5775">
      <w:pPr>
        <w:pStyle w:val="2"/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4、评分细则中相关资料</w:t>
      </w:r>
    </w:p>
    <w:p w14:paraId="35B9E929">
      <w:pPr>
        <w:rPr>
          <w:rFonts w:hint="default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5、资料真实性承诺函</w:t>
      </w:r>
    </w:p>
    <w:p w14:paraId="12D628EC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>按以上要求提供证相关证件及资料各一份、不可缺项，按顺序装订。</w:t>
      </w:r>
    </w:p>
    <w:p w14:paraId="67A9F092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 w14:paraId="6BB8171C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二、供应商须满足以下要求</w:t>
      </w:r>
    </w:p>
    <w:p w14:paraId="669264C0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1、付款方式：</w:t>
      </w:r>
      <w:r>
        <w:rPr>
          <w:rFonts w:hint="eastAsia"/>
          <w:sz w:val="24"/>
          <w:szCs w:val="24"/>
          <w:lang w:val="en-US" w:eastAsia="zh-CN"/>
        </w:rPr>
        <w:t>货到现场安装调试并验收合格后3个月内付合同总金额的90%，剩余10％一年后一次性无息付清。</w:t>
      </w:r>
    </w:p>
    <w:p w14:paraId="3F1B4D10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2、设备安装期：</w:t>
      </w:r>
      <w:r>
        <w:rPr>
          <w:rFonts w:hint="eastAsia"/>
          <w:sz w:val="24"/>
          <w:szCs w:val="24"/>
          <w:lang w:val="en-US" w:eastAsia="zh-CN"/>
        </w:rPr>
        <w:t>10天</w:t>
      </w:r>
    </w:p>
    <w:p w14:paraId="08F556DE">
      <w:pPr>
        <w:pStyle w:val="2"/>
        <w:rPr>
          <w:rFonts w:hint="default"/>
          <w:lang w:val="en-US" w:eastAsia="zh-CN"/>
        </w:rPr>
      </w:pPr>
      <w:r>
        <w:rPr>
          <w:rFonts w:hint="default" w:asciiTheme="minorAscii" w:hAnsiTheme="minorAscii"/>
          <w:b/>
          <w:bCs/>
          <w:sz w:val="24"/>
          <w:szCs w:val="24"/>
          <w:lang w:val="en-US" w:eastAsia="zh-CN"/>
        </w:rPr>
        <w:t>3、</w:t>
      </w:r>
      <w:r>
        <w:rPr>
          <w:rFonts w:hint="eastAsia"/>
          <w:b/>
          <w:bCs/>
          <w:sz w:val="24"/>
          <w:szCs w:val="24"/>
          <w:lang w:val="en-US" w:eastAsia="zh-CN"/>
        </w:rPr>
        <w:t>质保期：</w:t>
      </w:r>
      <w:r>
        <w:rPr>
          <w:rFonts w:hint="eastAsia"/>
          <w:sz w:val="24"/>
          <w:szCs w:val="24"/>
          <w:lang w:val="en-US" w:eastAsia="zh-CN"/>
        </w:rPr>
        <w:t>整机质保≥2年，设备必须为近6个月内生产的全新设备。</w:t>
      </w:r>
    </w:p>
    <w:p w14:paraId="0105831C">
      <w:pPr>
        <w:numPr>
          <w:ilvl w:val="0"/>
          <w:numId w:val="0"/>
        </w:numPr>
        <w:rPr>
          <w:rFonts w:hint="eastAsia" w:ascii="宋体" w:hAnsi="宋体" w:cs="宋体" w:eastAsiaTheme="minorEastAsia"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4、报价</w:t>
      </w:r>
      <w:r>
        <w:rPr>
          <w:rFonts w:hint="eastAsia"/>
          <w:sz w:val="24"/>
          <w:szCs w:val="24"/>
          <w:lang w:val="en-US" w:eastAsia="zh-CN"/>
        </w:rPr>
        <w:t>为一次性报价，货物的生产、包装、运输、装卸、安装、调试、培训、验收、保险、税金、运杂、安装所需的零部件、附材及质保服务等全部费用</w:t>
      </w:r>
      <w:r>
        <w:rPr>
          <w:rFonts w:ascii="宋体" w:hAnsi="宋体" w:cs="宋体"/>
          <w:sz w:val="24"/>
          <w:szCs w:val="24"/>
        </w:rPr>
        <w:t>。</w:t>
      </w:r>
    </w:p>
    <w:p w14:paraId="4E56B640">
      <w:pPr>
        <w:pStyle w:val="2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5、设备参数及要求</w:t>
      </w:r>
    </w:p>
    <w:p w14:paraId="6A9AD9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（1）适用于肾衰竭患者的血液透析治疗。</w:t>
      </w:r>
    </w:p>
    <w:p w14:paraId="7AF7B9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（2）具备开机自检功能。</w:t>
      </w:r>
    </w:p>
    <w:p w14:paraId="2A19CC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（3）具备血液透析、单纯超滤、序贯透析等治疗模式，适用各种配方透析液。</w:t>
      </w:r>
    </w:p>
    <w:p w14:paraId="297D3C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（4）具有≥10英寸彩色液晶显示屏幕，中文操作界面，可实时显示治疗过程参数和曲线图形。</w:t>
      </w:r>
    </w:p>
    <w:p w14:paraId="47C51A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（5）透析液温度控制范围不小于35℃～39℃，可调，有超温保护功能。</w:t>
      </w:r>
    </w:p>
    <w:p w14:paraId="31ED7C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（6）具有动脉压、静脉压、跨膜压的监测功能。监测动脉压范围≥-300mmHg～+280mmHg；静脉压范围≥-60mmHg～+500mmHg；跨膜压范围≥-60mmHg～+500mmHg。</w:t>
      </w:r>
    </w:p>
    <w:p w14:paraId="083F19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（7）具备透析液浓度控制、监测、超限报警功能，电导度监测范围≥13-15mS/cm。</w:t>
      </w:r>
    </w:p>
    <w:p w14:paraId="7E76D0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（8）具备化学消毒、热消毒、脱钙等多种消毒清洗程序，消毒脱钙可一体化完成。</w:t>
      </w:r>
    </w:p>
    <w:p w14:paraId="34E1F9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（9）具有肝素泵，兼容不同规格注射器，肝素注入速度设定范围：≥0-9ml/h，肝素泵可设置持续推注、快速注入等。</w:t>
      </w:r>
    </w:p>
    <w:p w14:paraId="6E2797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（10）具有个性化治疗曲线，包括透析液浓度、碳酸氢盐浓度和超滤曲线等。</w:t>
      </w:r>
    </w:p>
    <w:p w14:paraId="5E9F13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（11）血流量设定范围：≥40～600ml/min，可实时显示有效血流量。</w:t>
      </w:r>
    </w:p>
    <w:p w14:paraId="4D72CC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（12）超滤率：≥0～4000ml/h。</w:t>
      </w:r>
    </w:p>
    <w:p w14:paraId="0AF73A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（13）血液回输时，回输量可累积计算。</w:t>
      </w:r>
    </w:p>
    <w:p w14:paraId="496198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（14）具有漏血检测功能：能辨别真假性漏血。当红细胞比容为0.32时，≤0.5ml/min的血量流入透析液设备会发出报警。</w:t>
      </w:r>
    </w:p>
    <w:p w14:paraId="1A8A0D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（15）具有气泡及液位监测器。</w:t>
      </w:r>
    </w:p>
    <w:p w14:paraId="4C3E6E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（16）具备在线无创血压监测功能，可自动检测和记录患者透析期间的心率、血压变化。</w:t>
      </w:r>
    </w:p>
    <w:p w14:paraId="4CEDC2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（17）配有透析液过滤器接口，可制备超纯透析液。</w:t>
      </w:r>
    </w:p>
    <w:p w14:paraId="5D2DC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（18）配置后备电源，停电后可维持治疗15分钟以上。</w:t>
      </w:r>
    </w:p>
    <w:p w14:paraId="7F6EAB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（19）所用耗材为通用型耗材，无专用耗材。</w:t>
      </w:r>
    </w:p>
    <w:p w14:paraId="040C35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（20）文件中未提及属标配的功能、软件，须无条件提供。</w:t>
      </w:r>
    </w:p>
    <w:p w14:paraId="6B304C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（21）如有其他优惠请自报。</w:t>
      </w:r>
      <w:r>
        <w:rPr>
          <w:rFonts w:hint="eastAsia" w:hAnsi="宋体" w:cs="宋体"/>
          <w:b/>
          <w:bCs/>
          <w:sz w:val="24"/>
          <w:szCs w:val="24"/>
          <w:lang w:val="en-US" w:eastAsia="zh-CN"/>
        </w:rPr>
        <w:br w:type="page"/>
      </w:r>
    </w:p>
    <w:p w14:paraId="3531F575">
      <w:pPr>
        <w:pStyle w:val="2"/>
        <w:rPr>
          <w:rFonts w:hint="eastAsia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hAnsi="宋体" w:cs="宋体"/>
          <w:b/>
          <w:bCs/>
          <w:sz w:val="24"/>
          <w:szCs w:val="24"/>
          <w:lang w:val="en-US" w:eastAsia="zh-CN"/>
        </w:rPr>
        <w:t>三、评分细则（10分）</w:t>
      </w:r>
    </w:p>
    <w:tbl>
      <w:tblPr>
        <w:tblStyle w:val="5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1345"/>
        <w:gridCol w:w="2316"/>
        <w:gridCol w:w="4853"/>
      </w:tblGrid>
      <w:tr w14:paraId="44780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3E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</w:t>
            </w:r>
          </w:p>
        </w:tc>
        <w:tc>
          <w:tcPr>
            <w:tcW w:w="197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AC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主要内容及分值</w:t>
            </w:r>
          </w:p>
        </w:tc>
        <w:tc>
          <w:tcPr>
            <w:tcW w:w="2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17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评分方法</w:t>
            </w:r>
          </w:p>
        </w:tc>
      </w:tr>
      <w:tr w14:paraId="46B54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DA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</w:p>
        </w:tc>
        <w:tc>
          <w:tcPr>
            <w:tcW w:w="197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6B7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  3分</w:t>
            </w:r>
          </w:p>
        </w:tc>
        <w:tc>
          <w:tcPr>
            <w:tcW w:w="2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60B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报价最低的供应商的价格为基准价，其价格分为满分。其他供应商的价格分统一按照下列公式计算: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报价得分=(基准价/最后报价)*30%*10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注:小数点后保留2位有效数字</w:t>
            </w:r>
          </w:p>
        </w:tc>
      </w:tr>
      <w:tr w14:paraId="3A314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</w:trPr>
        <w:tc>
          <w:tcPr>
            <w:tcW w:w="4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84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</w:p>
        </w:tc>
        <w:tc>
          <w:tcPr>
            <w:tcW w:w="72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0EE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技术方案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6分</w:t>
            </w:r>
          </w:p>
        </w:tc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E29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产品综合实力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0-4分</w:t>
            </w:r>
          </w:p>
        </w:tc>
        <w:tc>
          <w:tcPr>
            <w:tcW w:w="2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F615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根据供应商所报产品的应用运行、技术流程、应用技术支持（包括产品的技术成熟度、效能操作的安全性）等进行综合评分（0-2分）</w:t>
            </w:r>
          </w:p>
          <w:p w14:paraId="49A3B6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2、具有详细的安装调试方案、技术保障，对提供的技术安装人员配置及培训方案进行评分（0-2分）</w:t>
            </w:r>
          </w:p>
        </w:tc>
      </w:tr>
      <w:tr w14:paraId="1F820A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4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5F1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1C29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A3A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售后服务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0-2分</w:t>
            </w:r>
          </w:p>
        </w:tc>
        <w:tc>
          <w:tcPr>
            <w:tcW w:w="2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4BD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根据供应商提供的售后服务措施、响应时间、质保期内提供的质保内容和范围进行综合评分（0-2分）</w:t>
            </w:r>
          </w:p>
        </w:tc>
      </w:tr>
      <w:tr w14:paraId="36EFA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E3A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三</w:t>
            </w:r>
          </w:p>
        </w:tc>
        <w:tc>
          <w:tcPr>
            <w:tcW w:w="197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A8D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合理化建议 1分</w:t>
            </w:r>
          </w:p>
        </w:tc>
        <w:tc>
          <w:tcPr>
            <w:tcW w:w="2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869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根据供应商合理化建议及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优惠承诺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进行评分（0-1分）</w:t>
            </w:r>
          </w:p>
        </w:tc>
      </w:tr>
    </w:tbl>
    <w:p w14:paraId="1C1E01B6"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备注：请按照评分细则中提供相关资料。</w:t>
      </w:r>
    </w:p>
    <w:p w14:paraId="23074D67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br w:type="page"/>
      </w:r>
    </w:p>
    <w:p w14:paraId="59E49094">
      <w:pPr>
        <w:jc w:val="center"/>
        <w:rPr>
          <w:rFonts w:hint="eastAsia" w:eastAsia="宋体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报价表</w:t>
      </w:r>
    </w:p>
    <w:tbl>
      <w:tblPr>
        <w:tblStyle w:val="5"/>
        <w:tblW w:w="88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3216"/>
        <w:gridCol w:w="4841"/>
      </w:tblGrid>
      <w:tr w14:paraId="0A0FC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6" w:hRule="atLeast"/>
          <w:jc w:val="center"/>
        </w:trPr>
        <w:tc>
          <w:tcPr>
            <w:tcW w:w="8839" w:type="dxa"/>
            <w:gridSpan w:val="3"/>
            <w:vAlign w:val="center"/>
          </w:tcPr>
          <w:p w14:paraId="154008C1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报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价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项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目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明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细</w:t>
            </w:r>
          </w:p>
        </w:tc>
      </w:tr>
      <w:tr w14:paraId="1DB6A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8" w:hRule="atLeast"/>
          <w:jc w:val="center"/>
        </w:trPr>
        <w:tc>
          <w:tcPr>
            <w:tcW w:w="782" w:type="dxa"/>
            <w:vAlign w:val="center"/>
          </w:tcPr>
          <w:p w14:paraId="06C855B5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3216" w:type="dxa"/>
            <w:vAlign w:val="center"/>
          </w:tcPr>
          <w:p w14:paraId="347D8A2D"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内容</w:t>
            </w:r>
          </w:p>
        </w:tc>
        <w:tc>
          <w:tcPr>
            <w:tcW w:w="4841" w:type="dxa"/>
            <w:vAlign w:val="center"/>
          </w:tcPr>
          <w:p w14:paraId="717E8A34"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聊城市眼科医院</w:t>
            </w:r>
            <w:r>
              <w:rPr>
                <w:rFonts w:hint="eastAsia" w:ascii="宋体"/>
                <w:sz w:val="24"/>
                <w:highlight w:val="none"/>
                <w:lang w:eastAsia="zh-CN"/>
              </w:rPr>
              <w:t>血液透析仪</w:t>
            </w:r>
            <w:r>
              <w:rPr>
                <w:rFonts w:hint="eastAsia" w:ascii="宋体"/>
                <w:sz w:val="24"/>
                <w:lang w:eastAsia="zh-CN"/>
              </w:rPr>
              <w:t>采购项目</w:t>
            </w:r>
          </w:p>
        </w:tc>
      </w:tr>
      <w:tr w14:paraId="412E6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4" w:hRule="atLeast"/>
          <w:jc w:val="center"/>
        </w:trPr>
        <w:tc>
          <w:tcPr>
            <w:tcW w:w="782" w:type="dxa"/>
            <w:vMerge w:val="restart"/>
            <w:vAlign w:val="center"/>
          </w:tcPr>
          <w:p w14:paraId="5D4509DB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1</w:t>
            </w:r>
          </w:p>
        </w:tc>
        <w:tc>
          <w:tcPr>
            <w:tcW w:w="3216" w:type="dxa"/>
            <w:vMerge w:val="restart"/>
            <w:vAlign w:val="center"/>
          </w:tcPr>
          <w:p w14:paraId="0C2CAA1D"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hint="eastAsia" w:ascii="宋体" w:eastAsiaTheme="minorEastAsia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highlight w:val="none"/>
                <w:lang w:eastAsia="zh-CN"/>
              </w:rPr>
              <w:t>报价</w:t>
            </w:r>
          </w:p>
        </w:tc>
        <w:tc>
          <w:tcPr>
            <w:tcW w:w="4841" w:type="dxa"/>
            <w:vAlign w:val="center"/>
          </w:tcPr>
          <w:p w14:paraId="2F81E6EF">
            <w:pPr>
              <w:spacing w:line="500" w:lineRule="exact"/>
              <w:ind w:firstLine="240" w:firstLineChars="100"/>
              <w:rPr>
                <w:rFonts w:hint="default" w:ascii="宋体" w:eastAsiaTheme="minorEastAsia"/>
                <w:sz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eastAsia="zh-CN"/>
              </w:rPr>
              <w:t>大写</w:t>
            </w:r>
            <w:r>
              <w:rPr>
                <w:rFonts w:hint="eastAsia" w:ascii="宋体" w:hAnsi="宋体"/>
                <w:sz w:val="24"/>
                <w:highlight w:val="none"/>
              </w:rPr>
              <w:t>：</w:t>
            </w:r>
            <w:r>
              <w:rPr>
                <w:rFonts w:hint="eastAsia" w:ascii="宋体" w:hAnsi="宋体"/>
                <w:sz w:val="24"/>
                <w:highlight w:val="none"/>
                <w:u w:val="single"/>
                <w:lang w:val="en-US" w:eastAsia="zh-CN"/>
              </w:rPr>
              <w:t xml:space="preserve">              </w:t>
            </w:r>
          </w:p>
          <w:p w14:paraId="2B6B5B6A">
            <w:pPr>
              <w:spacing w:line="500" w:lineRule="exact"/>
              <w:ind w:firstLine="240" w:firstLineChars="100"/>
              <w:rPr>
                <w:rFonts w:hint="eastAsia" w:ascii="宋体" w:eastAsiaTheme="minorEastAsia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eastAsia="zh-CN"/>
              </w:rPr>
              <w:t>小写</w:t>
            </w:r>
            <w:r>
              <w:rPr>
                <w:rFonts w:hint="eastAsia" w:ascii="宋体" w:hAnsi="宋体"/>
                <w:sz w:val="24"/>
                <w:highlight w:val="none"/>
              </w:rPr>
              <w:t>：</w:t>
            </w:r>
            <w:r>
              <w:rPr>
                <w:rFonts w:hint="eastAsia" w:ascii="宋体" w:hAnsi="宋体"/>
                <w:sz w:val="24"/>
                <w:highlight w:val="none"/>
                <w:u w:val="single"/>
              </w:rPr>
              <w:t xml:space="preserve">          </w:t>
            </w:r>
            <w:r>
              <w:rPr>
                <w:rFonts w:ascii="宋体" w:hAnsi="宋体"/>
                <w:sz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highlight w:val="none"/>
                <w:u w:val="none"/>
                <w:lang w:eastAsia="zh-CN"/>
              </w:rPr>
              <w:t>万元</w:t>
            </w:r>
          </w:p>
        </w:tc>
      </w:tr>
      <w:tr w14:paraId="19210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4" w:hRule="atLeast"/>
          <w:jc w:val="center"/>
        </w:trPr>
        <w:tc>
          <w:tcPr>
            <w:tcW w:w="782" w:type="dxa"/>
            <w:vMerge w:val="continue"/>
            <w:vAlign w:val="center"/>
          </w:tcPr>
          <w:p w14:paraId="12FF66ED"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216" w:type="dxa"/>
            <w:vMerge w:val="continue"/>
            <w:vAlign w:val="center"/>
          </w:tcPr>
          <w:p w14:paraId="5D179180">
            <w:pPr>
              <w:spacing w:line="50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4841" w:type="dxa"/>
            <w:vAlign w:val="center"/>
          </w:tcPr>
          <w:p w14:paraId="415B9002">
            <w:pPr>
              <w:spacing w:line="500" w:lineRule="exact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设备品牌、型号：</w:t>
            </w:r>
          </w:p>
        </w:tc>
      </w:tr>
      <w:tr w14:paraId="512DA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5B1BEC21">
            <w:pPr>
              <w:spacing w:line="500" w:lineRule="exact"/>
              <w:jc w:val="center"/>
              <w:rPr>
                <w:rFonts w:hint="eastAsia" w:ascii="宋体" w:hAnsi="宋体" w:eastAsiaTheme="minorEastAsia"/>
                <w:b/>
                <w:sz w:val="24"/>
                <w:lang w:val="en-US" w:eastAsia="zh-CN"/>
              </w:rPr>
            </w:pPr>
            <w:r>
              <w:rPr>
                <w:rFonts w:ascii="宋体" w:hAnsi="宋体"/>
                <w:b/>
                <w:sz w:val="24"/>
              </w:rPr>
              <w:t>2</w:t>
            </w:r>
          </w:p>
        </w:tc>
        <w:tc>
          <w:tcPr>
            <w:tcW w:w="3216" w:type="dxa"/>
            <w:vAlign w:val="center"/>
          </w:tcPr>
          <w:p w14:paraId="6EFD3CD7"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付款方式是否满足</w:t>
            </w:r>
          </w:p>
        </w:tc>
        <w:tc>
          <w:tcPr>
            <w:tcW w:w="4841" w:type="dxa"/>
            <w:vAlign w:val="center"/>
          </w:tcPr>
          <w:p w14:paraId="6AA98313">
            <w:pPr>
              <w:spacing w:line="500" w:lineRule="exact"/>
              <w:ind w:firstLine="1200" w:firstLineChars="500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是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/>
                <w:sz w:val="24"/>
                <w:lang w:eastAsia="zh-CN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否</w:t>
            </w:r>
          </w:p>
        </w:tc>
      </w:tr>
      <w:tr w14:paraId="1B69A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656517A4">
            <w:pPr>
              <w:spacing w:line="500" w:lineRule="exact"/>
              <w:jc w:val="center"/>
              <w:rPr>
                <w:rFonts w:hint="default" w:ascii="宋体"/>
                <w:b/>
                <w:sz w:val="24"/>
                <w:lang w:val="en-US" w:eastAsia="zh-CN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3</w:t>
            </w:r>
          </w:p>
        </w:tc>
        <w:tc>
          <w:tcPr>
            <w:tcW w:w="3216" w:type="dxa"/>
            <w:vAlign w:val="center"/>
          </w:tcPr>
          <w:p w14:paraId="70F10938">
            <w:pPr>
              <w:pStyle w:val="2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设备安装期是否满足</w:t>
            </w:r>
          </w:p>
        </w:tc>
        <w:tc>
          <w:tcPr>
            <w:tcW w:w="4841" w:type="dxa"/>
            <w:vAlign w:val="center"/>
          </w:tcPr>
          <w:p w14:paraId="0AE56E99">
            <w:pPr>
              <w:spacing w:line="500" w:lineRule="exact"/>
              <w:ind w:firstLine="1200" w:firstLineChars="500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是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/>
                <w:sz w:val="24"/>
                <w:lang w:eastAsia="zh-CN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否</w:t>
            </w:r>
          </w:p>
        </w:tc>
      </w:tr>
      <w:tr w14:paraId="0EB2D1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360FF832">
            <w:pPr>
              <w:spacing w:line="500" w:lineRule="exact"/>
              <w:jc w:val="center"/>
              <w:rPr>
                <w:rFonts w:hint="default" w:ascii="宋体"/>
                <w:b/>
                <w:sz w:val="24"/>
                <w:lang w:val="en-US" w:eastAsia="zh-CN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3</w:t>
            </w:r>
          </w:p>
        </w:tc>
        <w:tc>
          <w:tcPr>
            <w:tcW w:w="3216" w:type="dxa"/>
            <w:vAlign w:val="center"/>
          </w:tcPr>
          <w:p w14:paraId="11E0A591">
            <w:pPr>
              <w:spacing w:line="500" w:lineRule="exact"/>
              <w:jc w:val="center"/>
              <w:rPr>
                <w:rFonts w:hint="eastAsia" w:ascii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质保期</w:t>
            </w:r>
          </w:p>
          <w:p w14:paraId="08F00A9F"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（至少两年）</w:t>
            </w:r>
          </w:p>
        </w:tc>
        <w:tc>
          <w:tcPr>
            <w:tcW w:w="4841" w:type="dxa"/>
            <w:vAlign w:val="center"/>
          </w:tcPr>
          <w:p w14:paraId="36A66A29">
            <w:pPr>
              <w:spacing w:line="500" w:lineRule="exact"/>
              <w:ind w:firstLine="1200" w:firstLineChars="500"/>
              <w:rPr>
                <w:rFonts w:hint="default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u w:val="single"/>
                <w:lang w:val="en-US" w:eastAsia="zh-CN"/>
              </w:rPr>
              <w:t xml:space="preserve">      </w:t>
            </w:r>
            <w:bookmarkStart w:id="0" w:name="_GoBack"/>
            <w:bookmarkEnd w:id="0"/>
            <w:r>
              <w:rPr>
                <w:rFonts w:hint="eastAsia" w:ascii="宋体"/>
                <w:sz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/>
                <w:sz w:val="24"/>
                <w:lang w:val="en-US" w:eastAsia="zh-CN"/>
              </w:rPr>
              <w:t>年</w:t>
            </w:r>
          </w:p>
        </w:tc>
      </w:tr>
      <w:tr w14:paraId="16A2A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7908B082">
            <w:pPr>
              <w:spacing w:line="500" w:lineRule="exact"/>
              <w:jc w:val="center"/>
              <w:rPr>
                <w:rFonts w:hint="default" w:ascii="宋体"/>
                <w:b/>
                <w:sz w:val="24"/>
                <w:lang w:val="en-US" w:eastAsia="zh-CN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4</w:t>
            </w:r>
          </w:p>
        </w:tc>
        <w:tc>
          <w:tcPr>
            <w:tcW w:w="3216" w:type="dxa"/>
            <w:vAlign w:val="center"/>
          </w:tcPr>
          <w:p w14:paraId="1046935A">
            <w:pPr>
              <w:spacing w:line="500" w:lineRule="exact"/>
              <w:jc w:val="center"/>
              <w:rPr>
                <w:rFonts w:hint="eastAsia" w:ascii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设备使用年限</w:t>
            </w:r>
          </w:p>
        </w:tc>
        <w:tc>
          <w:tcPr>
            <w:tcW w:w="4841" w:type="dxa"/>
            <w:vAlign w:val="center"/>
          </w:tcPr>
          <w:p w14:paraId="64E1EF4B">
            <w:pPr>
              <w:spacing w:line="500" w:lineRule="exact"/>
              <w:ind w:firstLine="1200" w:firstLineChars="500"/>
              <w:rPr>
                <w:rFonts w:ascii="宋体"/>
                <w:sz w:val="24"/>
              </w:rPr>
            </w:pPr>
          </w:p>
        </w:tc>
      </w:tr>
    </w:tbl>
    <w:p w14:paraId="4F5829B5">
      <w:pPr>
        <w:spacing w:line="480" w:lineRule="auto"/>
        <w:ind w:firstLine="354" w:firstLineChars="147"/>
        <w:rPr>
          <w:rFonts w:ascii="宋体" w:cs="宋体"/>
          <w:b/>
          <w:sz w:val="24"/>
          <w:u w:val="single"/>
        </w:rPr>
      </w:pPr>
      <w:r>
        <w:rPr>
          <w:rFonts w:hint="eastAsia" w:ascii="宋体" w:hAnsi="宋体" w:cs="宋体"/>
          <w:b/>
          <w:sz w:val="24"/>
        </w:rPr>
        <w:t>供应商名称（盖章）</w:t>
      </w:r>
      <w:r>
        <w:rPr>
          <w:rFonts w:ascii="宋体" w:hAnsi="宋体" w:cs="宋体"/>
          <w:b/>
          <w:sz w:val="24"/>
        </w:rPr>
        <w:t xml:space="preserve"> </w:t>
      </w:r>
      <w:r>
        <w:rPr>
          <w:rFonts w:hint="eastAsia" w:ascii="宋体" w:hAnsi="宋体" w:cs="宋体"/>
          <w:b/>
          <w:sz w:val="24"/>
        </w:rPr>
        <w:t>：</w:t>
      </w:r>
    </w:p>
    <w:p w14:paraId="39E4F311">
      <w:pPr>
        <w:spacing w:line="480" w:lineRule="auto"/>
        <w:ind w:firstLine="354" w:firstLineChars="147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法定代表人或授权代表签字：</w:t>
      </w:r>
    </w:p>
    <w:p w14:paraId="45F83A08">
      <w:pPr>
        <w:numPr>
          <w:ilvl w:val="0"/>
          <w:numId w:val="0"/>
        </w:numPr>
        <w:jc w:val="both"/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2E8240"/>
    <w:multiLevelType w:val="singleLevel"/>
    <w:tmpl w:val="CB2E824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2M2ZhZTEwNDlkYWNkNGI0MTU4NzYyNGM3NGYwZTQifQ=="/>
  </w:docVars>
  <w:rsids>
    <w:rsidRoot w:val="00000000"/>
    <w:rsid w:val="004D2176"/>
    <w:rsid w:val="02A227A1"/>
    <w:rsid w:val="046D5CD0"/>
    <w:rsid w:val="04BF4C64"/>
    <w:rsid w:val="04FE4B79"/>
    <w:rsid w:val="05D615C1"/>
    <w:rsid w:val="06206E7E"/>
    <w:rsid w:val="072C5EA8"/>
    <w:rsid w:val="092D50C7"/>
    <w:rsid w:val="0A7C50CD"/>
    <w:rsid w:val="0DDC3A38"/>
    <w:rsid w:val="0EDB6D55"/>
    <w:rsid w:val="0F077FA2"/>
    <w:rsid w:val="0F221A78"/>
    <w:rsid w:val="13546543"/>
    <w:rsid w:val="135D2041"/>
    <w:rsid w:val="16F70EB5"/>
    <w:rsid w:val="191A5004"/>
    <w:rsid w:val="1A313A8E"/>
    <w:rsid w:val="1F352F93"/>
    <w:rsid w:val="21E6036C"/>
    <w:rsid w:val="226A0DA0"/>
    <w:rsid w:val="28920DC2"/>
    <w:rsid w:val="28E924BD"/>
    <w:rsid w:val="2C8A649C"/>
    <w:rsid w:val="2D6825AD"/>
    <w:rsid w:val="2E4A53FC"/>
    <w:rsid w:val="31481E02"/>
    <w:rsid w:val="32BE6D34"/>
    <w:rsid w:val="332A453A"/>
    <w:rsid w:val="34C719E7"/>
    <w:rsid w:val="374A05A7"/>
    <w:rsid w:val="384D42A5"/>
    <w:rsid w:val="39BC6D57"/>
    <w:rsid w:val="3A451DB4"/>
    <w:rsid w:val="3C0A781C"/>
    <w:rsid w:val="411E653D"/>
    <w:rsid w:val="413831CE"/>
    <w:rsid w:val="42E842E2"/>
    <w:rsid w:val="49750DC6"/>
    <w:rsid w:val="4B5F07FC"/>
    <w:rsid w:val="4C1C20FA"/>
    <w:rsid w:val="4EAF450E"/>
    <w:rsid w:val="51A234FE"/>
    <w:rsid w:val="52A907F9"/>
    <w:rsid w:val="54901979"/>
    <w:rsid w:val="59803AD5"/>
    <w:rsid w:val="5CDE7853"/>
    <w:rsid w:val="5D6773B1"/>
    <w:rsid w:val="606856F7"/>
    <w:rsid w:val="641F4E2B"/>
    <w:rsid w:val="64A51E4B"/>
    <w:rsid w:val="66652D12"/>
    <w:rsid w:val="6675282C"/>
    <w:rsid w:val="68A652DE"/>
    <w:rsid w:val="6C222C55"/>
    <w:rsid w:val="6C6D117C"/>
    <w:rsid w:val="6C7A7016"/>
    <w:rsid w:val="6EDC65DD"/>
    <w:rsid w:val="701C5563"/>
    <w:rsid w:val="7133708A"/>
    <w:rsid w:val="715576D5"/>
    <w:rsid w:val="72A5086F"/>
    <w:rsid w:val="73AE23F9"/>
    <w:rsid w:val="74995C85"/>
    <w:rsid w:val="78C57A52"/>
    <w:rsid w:val="7A2C2C21"/>
    <w:rsid w:val="7B5F033E"/>
    <w:rsid w:val="7D0E78F4"/>
    <w:rsid w:val="7D6363DE"/>
    <w:rsid w:val="7E076F8E"/>
    <w:rsid w:val="7FAF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autoRedefine/>
    <w:unhideWhenUsed/>
    <w:qFormat/>
    <w:uiPriority w:val="3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Times New Roman" w:eastAsia="宋体" w:cs="Times New Roman"/>
      <w:kern w:val="2"/>
      <w:sz w:val="28"/>
      <w:szCs w:val="28"/>
      <w:lang w:val="en-US" w:eastAsia="zh-CN" w:bidi="ar"/>
    </w:rPr>
  </w:style>
  <w:style w:type="paragraph" w:styleId="3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1382</Words>
  <Characters>1509</Characters>
  <Lines>0</Lines>
  <Paragraphs>0</Paragraphs>
  <TotalTime>10</TotalTime>
  <ScaleCrop>false</ScaleCrop>
  <LinksUpToDate>false</LinksUpToDate>
  <CharactersWithSpaces>1571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2022-05-16T08:55:00Z</dcterms:created>
  <dc:creator>Administrator.BF-20200609AMBW</dc:creator>
  <cp:lastModifiedBy>-24℃</cp:lastModifiedBy>
  <cp:lastPrinted>2023-07-13T07:20:00Z</cp:lastPrinted>
  <dcterms:modified xsi:type="dcterms:W3CDTF">2024-12-17T01:03:47Z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297FD9190EE940ED805E5EE84FC140E8_13</vt:lpwstr>
  </property>
</Properties>
</file>