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225501">
      <w:pPr>
        <w:numPr>
          <w:ilvl w:val="0"/>
          <w:numId w:val="0"/>
        </w:numPr>
        <w:jc w:val="center"/>
        <w:rPr>
          <w:rFonts w:hint="eastAsia"/>
          <w:color w:val="auto"/>
          <w:sz w:val="28"/>
          <w:szCs w:val="28"/>
          <w:lang w:val="en-US" w:eastAsia="zh-CN"/>
        </w:rPr>
      </w:pPr>
      <w:r>
        <w:rPr>
          <w:rFonts w:hint="eastAsia" w:ascii="方正小标宋简体" w:hAnsi="方正小标宋简体" w:eastAsia="方正小标宋简体" w:cs="方正小标宋简体"/>
          <w:b/>
          <w:bCs/>
          <w:color w:val="auto"/>
          <w:sz w:val="28"/>
          <w:szCs w:val="28"/>
          <w:lang w:val="en-US" w:eastAsia="zh-CN"/>
        </w:rPr>
        <w:t>供应商须知</w:t>
      </w:r>
    </w:p>
    <w:p w14:paraId="2AC4BE9A">
      <w:pPr>
        <w:numPr>
          <w:ilvl w:val="0"/>
          <w:numId w:val="0"/>
        </w:numPr>
        <w:rPr>
          <w:rFonts w:hint="eastAsia"/>
          <w:b/>
          <w:bCs/>
          <w:color w:val="auto"/>
          <w:sz w:val="24"/>
          <w:szCs w:val="24"/>
          <w:lang w:val="en-US" w:eastAsia="zh-CN"/>
        </w:rPr>
      </w:pPr>
      <w:r>
        <w:rPr>
          <w:rFonts w:hint="eastAsia"/>
          <w:b/>
          <w:bCs/>
          <w:color w:val="auto"/>
          <w:sz w:val="24"/>
          <w:szCs w:val="24"/>
          <w:lang w:val="en-US" w:eastAsia="zh-CN"/>
        </w:rPr>
        <w:t>一、供应商须提供证明材料</w:t>
      </w:r>
    </w:p>
    <w:p w14:paraId="72246463">
      <w:pPr>
        <w:numPr>
          <w:ilvl w:val="0"/>
          <w:numId w:val="0"/>
        </w:numPr>
        <w:rPr>
          <w:rFonts w:hint="eastAsia"/>
          <w:color w:val="auto"/>
          <w:sz w:val="24"/>
          <w:szCs w:val="24"/>
          <w:lang w:val="en-US" w:eastAsia="zh-CN"/>
        </w:rPr>
      </w:pPr>
      <w:r>
        <w:rPr>
          <w:rFonts w:hint="eastAsia"/>
          <w:color w:val="auto"/>
          <w:sz w:val="24"/>
          <w:szCs w:val="24"/>
          <w:lang w:val="en-US" w:eastAsia="zh-CN"/>
        </w:rPr>
        <w:t>1、营业执照、基本开户证明（复印件加盖公章）</w:t>
      </w:r>
    </w:p>
    <w:p w14:paraId="0BD96580">
      <w:pPr>
        <w:numPr>
          <w:ilvl w:val="0"/>
          <w:numId w:val="0"/>
        </w:numPr>
        <w:rPr>
          <w:rFonts w:hint="eastAsia"/>
          <w:color w:val="auto"/>
          <w:sz w:val="24"/>
          <w:szCs w:val="24"/>
          <w:lang w:val="en-US" w:eastAsia="zh-CN"/>
        </w:rPr>
      </w:pPr>
      <w:r>
        <w:rPr>
          <w:rFonts w:hint="eastAsia"/>
          <w:color w:val="auto"/>
          <w:sz w:val="24"/>
          <w:szCs w:val="24"/>
          <w:lang w:val="en-US" w:eastAsia="zh-CN"/>
        </w:rPr>
        <w:t>2、法定代表人授权委托书及授权代表身份证复印件；</w:t>
      </w:r>
    </w:p>
    <w:p w14:paraId="76B0C415">
      <w:pPr>
        <w:numPr>
          <w:ilvl w:val="0"/>
          <w:numId w:val="0"/>
        </w:numPr>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3、报价表</w:t>
      </w:r>
    </w:p>
    <w:p w14:paraId="66D6A0A8">
      <w:pPr>
        <w:pStyle w:val="5"/>
        <w:rPr>
          <w:rFonts w:hint="eastAsia"/>
          <w:color w:val="auto"/>
          <w:sz w:val="24"/>
          <w:szCs w:val="24"/>
          <w:highlight w:val="none"/>
          <w:vertAlign w:val="baseline"/>
          <w:lang w:val="en-US" w:eastAsia="zh-CN"/>
        </w:rPr>
      </w:pPr>
      <w:r>
        <w:rPr>
          <w:rFonts w:hint="eastAsia"/>
          <w:color w:val="auto"/>
          <w:sz w:val="24"/>
          <w:szCs w:val="24"/>
          <w:highlight w:val="none"/>
          <w:vertAlign w:val="baseline"/>
          <w:lang w:val="en-US" w:eastAsia="zh-CN"/>
        </w:rPr>
        <w:t>4、评分细则中相关资料</w:t>
      </w:r>
    </w:p>
    <w:p w14:paraId="7BCE94A7">
      <w:pPr>
        <w:rPr>
          <w:rFonts w:hint="default"/>
          <w:lang w:val="en-US" w:eastAsia="zh-CN"/>
        </w:rPr>
      </w:pPr>
      <w:r>
        <w:rPr>
          <w:rFonts w:hint="eastAsia"/>
          <w:color w:val="auto"/>
          <w:sz w:val="24"/>
          <w:szCs w:val="24"/>
          <w:highlight w:val="none"/>
          <w:vertAlign w:val="baseline"/>
          <w:lang w:val="en-US" w:eastAsia="zh-CN"/>
        </w:rPr>
        <w:t>5、资料真实性承诺函</w:t>
      </w:r>
    </w:p>
    <w:p w14:paraId="2694D60B">
      <w:pPr>
        <w:numPr>
          <w:ilvl w:val="0"/>
          <w:numId w:val="0"/>
        </w:numPr>
        <w:rPr>
          <w:rFonts w:hint="eastAsia"/>
          <w:b/>
          <w:bCs/>
          <w:color w:val="auto"/>
          <w:sz w:val="24"/>
          <w:szCs w:val="24"/>
          <w:u w:val="single"/>
          <w:lang w:val="en-US" w:eastAsia="zh-CN"/>
        </w:rPr>
      </w:pPr>
      <w:r>
        <w:rPr>
          <w:rFonts w:hint="eastAsia"/>
          <w:b/>
          <w:bCs/>
          <w:color w:val="auto"/>
          <w:sz w:val="24"/>
          <w:szCs w:val="24"/>
          <w:u w:val="single"/>
          <w:lang w:val="en-US" w:eastAsia="zh-CN"/>
        </w:rPr>
        <w:t>按以上要求提供证相关证件及资料各一份、不可缺项，按顺序装订。</w:t>
      </w:r>
    </w:p>
    <w:p w14:paraId="24CAB839">
      <w:pPr>
        <w:numPr>
          <w:ilvl w:val="0"/>
          <w:numId w:val="0"/>
        </w:numPr>
        <w:rPr>
          <w:rFonts w:hint="eastAsia"/>
          <w:color w:val="auto"/>
          <w:sz w:val="24"/>
          <w:szCs w:val="24"/>
          <w:lang w:val="en-US" w:eastAsia="zh-CN"/>
        </w:rPr>
      </w:pPr>
    </w:p>
    <w:p w14:paraId="7B1C0A29">
      <w:pPr>
        <w:numPr>
          <w:ilvl w:val="0"/>
          <w:numId w:val="0"/>
        </w:numPr>
        <w:rPr>
          <w:rFonts w:hint="eastAsia"/>
          <w:b/>
          <w:bCs/>
          <w:color w:val="auto"/>
          <w:sz w:val="24"/>
          <w:szCs w:val="24"/>
          <w:lang w:val="en-US" w:eastAsia="zh-CN"/>
        </w:rPr>
      </w:pPr>
      <w:r>
        <w:rPr>
          <w:rFonts w:hint="eastAsia"/>
          <w:b/>
          <w:bCs/>
          <w:color w:val="auto"/>
          <w:sz w:val="24"/>
          <w:szCs w:val="24"/>
          <w:lang w:val="en-US" w:eastAsia="zh-CN"/>
        </w:rPr>
        <w:t>二、供应商须满足以下要求</w:t>
      </w:r>
    </w:p>
    <w:p w14:paraId="3D0A4AF0">
      <w:pPr>
        <w:numPr>
          <w:ilvl w:val="0"/>
          <w:numId w:val="0"/>
        </w:numPr>
        <w:rPr>
          <w:rFonts w:hint="eastAsia"/>
          <w:color w:val="auto"/>
          <w:sz w:val="24"/>
          <w:szCs w:val="24"/>
          <w:u w:val="none"/>
          <w:lang w:val="en-US" w:eastAsia="zh-CN"/>
        </w:rPr>
      </w:pPr>
      <w:r>
        <w:rPr>
          <w:rFonts w:hint="eastAsia"/>
          <w:color w:val="auto"/>
          <w:sz w:val="24"/>
          <w:szCs w:val="24"/>
          <w:lang w:val="en-US" w:eastAsia="zh-CN"/>
        </w:rPr>
        <w:t>1、</w:t>
      </w:r>
      <w:r>
        <w:rPr>
          <w:rFonts w:hint="eastAsia"/>
          <w:b/>
          <w:bCs/>
          <w:color w:val="auto"/>
          <w:sz w:val="24"/>
          <w:szCs w:val="24"/>
          <w:lang w:val="en-US" w:eastAsia="zh-CN"/>
        </w:rPr>
        <w:t>付款方式：</w:t>
      </w:r>
      <w:r>
        <w:rPr>
          <w:rFonts w:hint="eastAsia"/>
          <w:color w:val="auto"/>
          <w:sz w:val="24"/>
          <w:szCs w:val="24"/>
          <w:u w:val="none"/>
          <w:lang w:val="en-US" w:eastAsia="zh-CN"/>
        </w:rPr>
        <w:t xml:space="preserve">  合同签订后支付合同总价的30%作为预付款；项目全部完成正常运行一个月通过整体验收后支付合同总价的60%；剩余10%尾款在验收一年后无遗留问题一次性无息支付。</w:t>
      </w:r>
    </w:p>
    <w:p w14:paraId="030E9B14">
      <w:pPr>
        <w:numPr>
          <w:ilvl w:val="0"/>
          <w:numId w:val="0"/>
        </w:numPr>
        <w:rPr>
          <w:rFonts w:hint="default"/>
          <w:color w:val="auto"/>
          <w:sz w:val="24"/>
          <w:szCs w:val="24"/>
          <w:u w:val="none"/>
          <w:lang w:val="en-US" w:eastAsia="zh-CN"/>
        </w:rPr>
      </w:pPr>
      <w:r>
        <w:rPr>
          <w:rFonts w:hint="eastAsia"/>
          <w:color w:val="auto"/>
          <w:sz w:val="24"/>
          <w:szCs w:val="24"/>
          <w:u w:val="none"/>
          <w:lang w:val="en-US" w:eastAsia="zh-CN"/>
        </w:rPr>
        <w:t>2、</w:t>
      </w:r>
      <w:r>
        <w:rPr>
          <w:rFonts w:hint="eastAsia"/>
          <w:b/>
          <w:bCs/>
          <w:color w:val="auto"/>
          <w:sz w:val="24"/>
          <w:szCs w:val="24"/>
          <w:u w:val="none"/>
          <w:lang w:val="en-US" w:eastAsia="zh-CN"/>
        </w:rPr>
        <w:t>工期：</w:t>
      </w:r>
      <w:r>
        <w:rPr>
          <w:rFonts w:hint="eastAsia"/>
          <w:color w:val="auto"/>
          <w:sz w:val="24"/>
          <w:szCs w:val="24"/>
          <w:u w:val="none"/>
          <w:lang w:val="en-US" w:eastAsia="zh-CN"/>
        </w:rPr>
        <w:t>30天。</w:t>
      </w:r>
    </w:p>
    <w:p w14:paraId="67224C5F">
      <w:pPr>
        <w:pStyle w:val="5"/>
        <w:rPr>
          <w:rFonts w:hint="default"/>
          <w:color w:val="auto"/>
          <w:u w:val="none"/>
          <w:lang w:val="en-US" w:eastAsia="zh-CN"/>
        </w:rPr>
      </w:pPr>
      <w:r>
        <w:rPr>
          <w:rFonts w:hint="default" w:asciiTheme="minorAscii" w:hAnsiTheme="minorAscii"/>
          <w:color w:val="auto"/>
          <w:sz w:val="24"/>
          <w:szCs w:val="24"/>
          <w:u w:val="none"/>
          <w:lang w:val="en-US" w:eastAsia="zh-CN"/>
        </w:rPr>
        <w:t>3、</w:t>
      </w:r>
      <w:r>
        <w:rPr>
          <w:rFonts w:hint="eastAsia" w:asciiTheme="minorAscii" w:hAnsiTheme="minorAscii"/>
          <w:b/>
          <w:bCs/>
          <w:color w:val="auto"/>
          <w:sz w:val="24"/>
          <w:szCs w:val="24"/>
          <w:u w:val="none"/>
          <w:lang w:val="en-US" w:eastAsia="zh-CN"/>
        </w:rPr>
        <w:t>免费</w:t>
      </w:r>
      <w:r>
        <w:rPr>
          <w:rFonts w:hint="eastAsia"/>
          <w:b/>
          <w:bCs/>
          <w:color w:val="auto"/>
          <w:sz w:val="24"/>
          <w:szCs w:val="24"/>
          <w:u w:val="none"/>
          <w:lang w:val="en-US" w:eastAsia="zh-CN"/>
        </w:rPr>
        <w:t>维保期：</w:t>
      </w:r>
      <w:r>
        <w:rPr>
          <w:rFonts w:hint="eastAsia"/>
          <w:b w:val="0"/>
          <w:bCs w:val="0"/>
          <w:color w:val="auto"/>
          <w:sz w:val="24"/>
          <w:szCs w:val="24"/>
          <w:u w:val="none"/>
          <w:lang w:val="en-US" w:eastAsia="zh-CN"/>
        </w:rPr>
        <w:t>至少1年。</w:t>
      </w:r>
    </w:p>
    <w:p w14:paraId="313C395A">
      <w:pPr>
        <w:numPr>
          <w:ilvl w:val="0"/>
          <w:numId w:val="0"/>
        </w:numPr>
        <w:rPr>
          <w:rFonts w:ascii="宋体" w:hAnsi="宋体" w:cs="宋体"/>
          <w:color w:val="auto"/>
          <w:sz w:val="24"/>
          <w:szCs w:val="24"/>
        </w:rPr>
      </w:pPr>
      <w:r>
        <w:rPr>
          <w:rFonts w:hint="eastAsia"/>
          <w:color w:val="auto"/>
          <w:sz w:val="24"/>
          <w:szCs w:val="24"/>
          <w:lang w:val="en-US" w:eastAsia="zh-CN"/>
        </w:rPr>
        <w:t>4、</w:t>
      </w:r>
      <w:r>
        <w:rPr>
          <w:rFonts w:hint="eastAsia"/>
          <w:b/>
          <w:bCs/>
          <w:color w:val="auto"/>
          <w:sz w:val="24"/>
          <w:szCs w:val="24"/>
          <w:lang w:val="en-US" w:eastAsia="zh-CN"/>
        </w:rPr>
        <w:t>报价</w:t>
      </w:r>
      <w:r>
        <w:rPr>
          <w:rFonts w:hint="eastAsia"/>
          <w:color w:val="auto"/>
          <w:sz w:val="24"/>
          <w:szCs w:val="24"/>
          <w:lang w:val="en-US" w:eastAsia="zh-CN"/>
        </w:rPr>
        <w:t>为一次性报价，包括</w:t>
      </w:r>
      <w:r>
        <w:rPr>
          <w:rFonts w:hint="eastAsia"/>
          <w:color w:val="auto"/>
          <w:sz w:val="24"/>
        </w:rPr>
        <w:t>供货、</w:t>
      </w:r>
      <w:r>
        <w:rPr>
          <w:rFonts w:hint="eastAsia"/>
          <w:color w:val="auto"/>
          <w:sz w:val="24"/>
          <w:lang w:eastAsia="zh-CN"/>
        </w:rPr>
        <w:t>安装调试费、</w:t>
      </w:r>
      <w:r>
        <w:rPr>
          <w:rFonts w:hint="eastAsia"/>
          <w:color w:val="auto"/>
          <w:sz w:val="24"/>
        </w:rPr>
        <w:t>辅材费、运输费、装卸费、保险费、检验费、售后服务、税金</w:t>
      </w:r>
      <w:r>
        <w:rPr>
          <w:rFonts w:ascii="宋体" w:hAnsi="宋体" w:cs="宋体"/>
          <w:color w:val="auto"/>
          <w:sz w:val="24"/>
          <w:szCs w:val="24"/>
        </w:rPr>
        <w:t>所需的一切费用。</w:t>
      </w:r>
    </w:p>
    <w:p w14:paraId="0B8D9FB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cstheme="minorEastAsia"/>
          <w:b/>
          <w:bCs/>
          <w:sz w:val="24"/>
          <w:szCs w:val="24"/>
          <w:highlight w:val="none"/>
          <w:lang w:val="en-US" w:eastAsia="zh-CN"/>
        </w:rPr>
        <w:t>5、项目技术及服务要求</w:t>
      </w:r>
    </w:p>
    <w:p w14:paraId="31F97E2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rPr>
        <w:t>（一）</w:t>
      </w:r>
      <w:r>
        <w:rPr>
          <w:rFonts w:hint="eastAsia" w:asciiTheme="minorEastAsia" w:hAnsiTheme="minorEastAsia" w:cstheme="minorEastAsia"/>
          <w:b/>
          <w:bCs/>
          <w:sz w:val="24"/>
          <w:szCs w:val="24"/>
          <w:highlight w:val="none"/>
          <w:lang w:val="en-US" w:eastAsia="zh-CN"/>
        </w:rPr>
        <w:t>功能描述</w:t>
      </w:r>
    </w:p>
    <w:p w14:paraId="00D97476">
      <w:pPr>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医院根据数据对接交换标准（提供的嵌入式表单组件调用URL和传参形式）改造HIS系统，</w:t>
      </w:r>
      <w:r>
        <w:rPr>
          <w:rFonts w:hint="eastAsia" w:asciiTheme="minorEastAsia" w:hAnsiTheme="minorEastAsia" w:eastAsiaTheme="minorEastAsia" w:cstheme="minorEastAsia"/>
          <w:color w:val="000000"/>
          <w:sz w:val="24"/>
          <w:szCs w:val="24"/>
          <w:highlight w:val="none"/>
        </w:rPr>
        <w:t>医院的HIS系统根据诊断触发调用前置机部署应用系统提供的微服务页面调用方式，</w:t>
      </w:r>
      <w:r>
        <w:rPr>
          <w:rFonts w:hint="eastAsia" w:asciiTheme="minorEastAsia" w:hAnsiTheme="minorEastAsia" w:eastAsiaTheme="minorEastAsia" w:cstheme="minorEastAsia"/>
          <w:sz w:val="24"/>
          <w:szCs w:val="24"/>
          <w:highlight w:val="none"/>
        </w:rPr>
        <w:t>实现医院HIS系统在食源性疾病报告时可以传值调用嵌入式URL页面填写保存数据。</w:t>
      </w:r>
      <w:r>
        <w:rPr>
          <w:rFonts w:hint="eastAsia" w:asciiTheme="minorEastAsia" w:hAnsiTheme="minorEastAsia" w:eastAsiaTheme="minorEastAsia" w:cstheme="minorEastAsia"/>
          <w:color w:val="000000"/>
          <w:sz w:val="24"/>
          <w:szCs w:val="24"/>
          <w:highlight w:val="none"/>
        </w:rPr>
        <w:t>由临床医生在该录入页面录入食源性疾病信息，</w:t>
      </w:r>
      <w:r>
        <w:rPr>
          <w:rFonts w:hint="eastAsia" w:asciiTheme="minorEastAsia" w:hAnsiTheme="minorEastAsia" w:eastAsiaTheme="minorEastAsia" w:cstheme="minorEastAsia"/>
          <w:sz w:val="24"/>
          <w:szCs w:val="24"/>
          <w:highlight w:val="none"/>
        </w:rPr>
        <w:t>数据保存。</w:t>
      </w:r>
      <w:r>
        <w:rPr>
          <w:rFonts w:hint="eastAsia" w:asciiTheme="minorEastAsia" w:hAnsiTheme="minorEastAsia" w:eastAsiaTheme="minorEastAsia" w:cstheme="minorEastAsia"/>
          <w:color w:val="000000"/>
          <w:sz w:val="24"/>
          <w:szCs w:val="24"/>
          <w:highlight w:val="none"/>
        </w:rPr>
        <w:t>科室医生可登录</w:t>
      </w:r>
      <w:r>
        <w:rPr>
          <w:rFonts w:hint="eastAsia" w:asciiTheme="minorEastAsia" w:hAnsiTheme="minorEastAsia" w:eastAsiaTheme="minorEastAsia" w:cstheme="minorEastAsia"/>
          <w:color w:val="000000"/>
          <w:sz w:val="24"/>
          <w:szCs w:val="24"/>
          <w:highlight w:val="none"/>
          <w:lang w:val="zh-CN"/>
        </w:rPr>
        <w:t>医院端（</w:t>
      </w:r>
      <w:r>
        <w:rPr>
          <w:rFonts w:hint="eastAsia" w:asciiTheme="minorEastAsia" w:hAnsiTheme="minorEastAsia" w:eastAsiaTheme="minorEastAsia" w:cstheme="minorEastAsia"/>
          <w:color w:val="000000"/>
          <w:sz w:val="24"/>
          <w:szCs w:val="24"/>
          <w:highlight w:val="none"/>
        </w:rPr>
        <w:t>FBD</w:t>
      </w:r>
      <w:r>
        <w:rPr>
          <w:rFonts w:hint="eastAsia" w:asciiTheme="minorEastAsia" w:hAnsiTheme="minorEastAsia" w:eastAsiaTheme="minorEastAsia" w:cstheme="minorEastAsia"/>
          <w:color w:val="000000"/>
          <w:sz w:val="24"/>
          <w:szCs w:val="24"/>
          <w:highlight w:val="none"/>
          <w:lang w:val="zh-CN"/>
        </w:rPr>
        <w:t>表单组件）</w:t>
      </w:r>
      <w:r>
        <w:rPr>
          <w:rFonts w:hint="eastAsia" w:asciiTheme="minorEastAsia" w:hAnsiTheme="minorEastAsia" w:eastAsiaTheme="minorEastAsia" w:cstheme="minorEastAsia"/>
          <w:color w:val="000000"/>
          <w:sz w:val="24"/>
          <w:szCs w:val="24"/>
          <w:highlight w:val="none"/>
        </w:rPr>
        <w:t>审核报卡信息，点击上报，上传病例数据</w:t>
      </w:r>
      <w:r>
        <w:rPr>
          <w:rFonts w:hint="eastAsia" w:asciiTheme="minorEastAsia" w:hAnsiTheme="minorEastAsia" w:eastAsiaTheme="minorEastAsia" w:cstheme="minorEastAsia"/>
          <w:sz w:val="24"/>
          <w:szCs w:val="24"/>
          <w:highlight w:val="none"/>
        </w:rPr>
        <w:t>可以直接</w:t>
      </w:r>
      <w:r>
        <w:rPr>
          <w:rFonts w:hint="eastAsia" w:asciiTheme="minorEastAsia" w:hAnsiTheme="minorEastAsia" w:eastAsiaTheme="minorEastAsia" w:cstheme="minorEastAsia"/>
          <w:color w:val="0000FF"/>
          <w:sz w:val="24"/>
          <w:szCs w:val="24"/>
          <w:highlight w:val="none"/>
        </w:rPr>
        <w:t>通过网络</w:t>
      </w:r>
      <w:r>
        <w:rPr>
          <w:rFonts w:hint="eastAsia" w:asciiTheme="minorEastAsia" w:hAnsiTheme="minorEastAsia" w:eastAsiaTheme="minorEastAsia" w:cstheme="minorEastAsia"/>
          <w:sz w:val="24"/>
          <w:szCs w:val="24"/>
          <w:highlight w:val="none"/>
        </w:rPr>
        <w:t>上传市级平台，避免二次填报。</w:t>
      </w:r>
    </w:p>
    <w:tbl>
      <w:tblPr>
        <w:tblStyle w:val="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99"/>
        <w:gridCol w:w="6487"/>
      </w:tblGrid>
      <w:tr w14:paraId="1157E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Align w:val="center"/>
          </w:tcPr>
          <w:p w14:paraId="1160E859">
            <w:pPr>
              <w:pStyle w:val="6"/>
              <w:keepNext w:val="0"/>
              <w:keepLines w:val="0"/>
              <w:widowControl/>
              <w:suppressLineNumbers w:val="0"/>
              <w:ind w:left="0" w:leftChars="0" w:right="0" w:rightChars="0"/>
              <w:rPr>
                <w:rFonts w:hint="default" w:ascii="宋体" w:hAnsi="宋体" w:eastAsia="宋体" w:cs="宋体"/>
                <w:sz w:val="24"/>
                <w:szCs w:val="24"/>
                <w:highlight w:val="none"/>
                <w:vertAlign w:val="baseline"/>
                <w:lang w:val="en-US" w:eastAsia="zh-CN"/>
              </w:rPr>
            </w:pPr>
            <w:r>
              <w:rPr>
                <w:rFonts w:hint="eastAsia" w:ascii="宋体" w:hAnsi="宋体" w:eastAsia="宋体" w:cs="宋体"/>
                <w:color w:val="auto"/>
                <w:sz w:val="24"/>
                <w:szCs w:val="24"/>
                <w:highlight w:val="none"/>
                <w:shd w:val="clear" w:color="auto" w:fill="auto"/>
                <w:lang w:val="en-US" w:eastAsia="zh-CN"/>
              </w:rPr>
              <w:t>模块清单</w:t>
            </w:r>
          </w:p>
        </w:tc>
        <w:tc>
          <w:tcPr>
            <w:tcW w:w="3492" w:type="pct"/>
            <w:vAlign w:val="top"/>
          </w:tcPr>
          <w:p w14:paraId="15026036">
            <w:pPr>
              <w:pStyle w:val="6"/>
              <w:keepNext w:val="0"/>
              <w:keepLines w:val="0"/>
              <w:widowControl/>
              <w:suppressLineNumbers w:val="0"/>
              <w:ind w:left="0" w:leftChars="0" w:right="0" w:rightChars="0"/>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功能描述</w:t>
            </w:r>
          </w:p>
        </w:tc>
      </w:tr>
      <w:tr w14:paraId="3D5EF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Merge w:val="restart"/>
            <w:vAlign w:val="center"/>
          </w:tcPr>
          <w:p w14:paraId="1988CB1C">
            <w:pPr>
              <w:pStyle w:val="6"/>
              <w:keepNext w:val="0"/>
              <w:keepLines w:val="0"/>
              <w:widowControl/>
              <w:suppressLineNumbers w:val="0"/>
              <w:ind w:left="0" w:leftChars="0" w:right="0" w:rightChars="0"/>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自动触发</w:t>
            </w:r>
          </w:p>
        </w:tc>
        <w:tc>
          <w:tcPr>
            <w:tcW w:w="3492" w:type="pct"/>
            <w:vAlign w:val="top"/>
          </w:tcPr>
          <w:p w14:paraId="0E451DB1">
            <w:pPr>
              <w:pStyle w:val="6"/>
              <w:keepNext w:val="0"/>
              <w:keepLines w:val="0"/>
              <w:widowControl/>
              <w:suppressLineNumbers w:val="0"/>
              <w:ind w:left="0" w:leftChars="0" w:right="0" w:rightChars="0"/>
              <w:rPr>
                <w:rFonts w:hint="eastAsia" w:ascii="宋体" w:hAnsi="宋体" w:eastAsia="宋体" w:cs="宋体"/>
                <w:kern w:val="0"/>
                <w:sz w:val="24"/>
                <w:szCs w:val="24"/>
                <w:highlight w:val="none"/>
                <w:vertAlign w:val="baseline"/>
                <w:lang w:val="en-US" w:eastAsia="zh-CN" w:bidi="ar"/>
              </w:rPr>
            </w:pPr>
            <w:r>
              <w:rPr>
                <w:rFonts w:hint="eastAsia" w:ascii="宋体" w:hAnsi="宋体" w:eastAsia="宋体" w:cs="宋体"/>
                <w:color w:val="auto"/>
                <w:sz w:val="24"/>
                <w:szCs w:val="24"/>
                <w:highlight w:val="none"/>
                <w:shd w:val="clear" w:color="auto" w:fill="auto"/>
              </w:rPr>
              <w:t>根据诊断结论自动触发填报卡弹窗</w:t>
            </w:r>
          </w:p>
        </w:tc>
      </w:tr>
      <w:tr w14:paraId="06598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Merge w:val="continue"/>
            <w:vAlign w:val="center"/>
          </w:tcPr>
          <w:p w14:paraId="49D8A1D7">
            <w:pPr>
              <w:pStyle w:val="6"/>
              <w:keepNext w:val="0"/>
              <w:keepLines w:val="0"/>
              <w:widowControl/>
              <w:suppressLineNumbers w:val="0"/>
              <w:ind w:left="0" w:leftChars="0" w:right="0" w:rightChars="0"/>
              <w:rPr>
                <w:rFonts w:hint="eastAsia" w:ascii="宋体" w:hAnsi="宋体" w:eastAsia="宋体" w:cs="宋体"/>
                <w:color w:val="auto"/>
                <w:sz w:val="24"/>
                <w:szCs w:val="24"/>
                <w:highlight w:val="none"/>
                <w:shd w:val="clear" w:color="auto" w:fill="auto"/>
              </w:rPr>
            </w:pPr>
          </w:p>
        </w:tc>
        <w:tc>
          <w:tcPr>
            <w:tcW w:w="3492" w:type="pct"/>
            <w:vAlign w:val="top"/>
          </w:tcPr>
          <w:p w14:paraId="2E6A1EFC">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基本信息自动带入</w:t>
            </w:r>
          </w:p>
        </w:tc>
      </w:tr>
      <w:tr w14:paraId="3AE8F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Merge w:val="restart"/>
            <w:vAlign w:val="center"/>
          </w:tcPr>
          <w:p w14:paraId="64C3ADF8">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直连直报</w:t>
            </w:r>
          </w:p>
        </w:tc>
        <w:tc>
          <w:tcPr>
            <w:tcW w:w="3492" w:type="pct"/>
            <w:vAlign w:val="top"/>
          </w:tcPr>
          <w:p w14:paraId="2D5EF95D">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HIS系统一键提交后数据直接进入食源性疾病病例监测系统</w:t>
            </w:r>
          </w:p>
        </w:tc>
      </w:tr>
      <w:tr w14:paraId="1A3A2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Merge w:val="continue"/>
            <w:vAlign w:val="center"/>
          </w:tcPr>
          <w:p w14:paraId="6799F52A">
            <w:pPr>
              <w:pStyle w:val="6"/>
              <w:keepNext w:val="0"/>
              <w:keepLines w:val="0"/>
              <w:widowControl/>
              <w:suppressLineNumbers w:val="0"/>
              <w:ind w:left="0" w:leftChars="0" w:right="0" w:rightChars="0"/>
              <w:rPr>
                <w:rFonts w:hint="eastAsia" w:ascii="宋体" w:hAnsi="宋体" w:eastAsia="宋体" w:cs="宋体"/>
                <w:color w:val="auto"/>
                <w:sz w:val="24"/>
                <w:szCs w:val="24"/>
                <w:highlight w:val="none"/>
                <w:shd w:val="clear" w:color="auto" w:fill="auto"/>
              </w:rPr>
            </w:pPr>
          </w:p>
        </w:tc>
        <w:tc>
          <w:tcPr>
            <w:tcW w:w="3492" w:type="pct"/>
            <w:vAlign w:val="top"/>
          </w:tcPr>
          <w:p w14:paraId="7A9FE3E2">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数据状态为区县级待审核</w:t>
            </w:r>
          </w:p>
        </w:tc>
      </w:tr>
      <w:tr w14:paraId="49A3A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Align w:val="center"/>
          </w:tcPr>
          <w:p w14:paraId="6A7685D1">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数据同步</w:t>
            </w:r>
          </w:p>
        </w:tc>
        <w:tc>
          <w:tcPr>
            <w:tcW w:w="3492" w:type="pct"/>
          </w:tcPr>
          <w:p w14:paraId="04A23F91">
            <w:pPr>
              <w:jc w:val="both"/>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医疗机构审核端退回、召回、修改的数据需与食源性疾病病例监测系统数据保持一致</w:t>
            </w:r>
          </w:p>
        </w:tc>
      </w:tr>
      <w:tr w14:paraId="3C3C2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Merge w:val="restart"/>
            <w:vAlign w:val="center"/>
          </w:tcPr>
          <w:p w14:paraId="153B3D8A">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辅助填报</w:t>
            </w:r>
          </w:p>
        </w:tc>
        <w:tc>
          <w:tcPr>
            <w:tcW w:w="3492" w:type="pct"/>
            <w:vAlign w:val="top"/>
          </w:tcPr>
          <w:p w14:paraId="62C3BC04">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暴露食品类别与食品名称自动关联</w:t>
            </w:r>
          </w:p>
        </w:tc>
      </w:tr>
      <w:tr w14:paraId="7A0A6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Merge w:val="continue"/>
            <w:vAlign w:val="center"/>
          </w:tcPr>
          <w:p w14:paraId="799666BE">
            <w:pPr>
              <w:pStyle w:val="6"/>
              <w:keepNext w:val="0"/>
              <w:keepLines w:val="0"/>
              <w:widowControl/>
              <w:suppressLineNumbers w:val="0"/>
              <w:ind w:left="0" w:leftChars="0" w:right="0" w:rightChars="0"/>
              <w:rPr>
                <w:rFonts w:hint="eastAsia" w:ascii="宋体" w:hAnsi="宋体" w:eastAsia="宋体" w:cs="宋体"/>
                <w:color w:val="auto"/>
                <w:sz w:val="24"/>
                <w:szCs w:val="24"/>
                <w:highlight w:val="none"/>
                <w:shd w:val="clear" w:color="auto" w:fill="auto"/>
              </w:rPr>
            </w:pPr>
          </w:p>
        </w:tc>
        <w:tc>
          <w:tcPr>
            <w:tcW w:w="3492" w:type="pct"/>
            <w:vAlign w:val="top"/>
          </w:tcPr>
          <w:p w14:paraId="2733582A">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哨点医院检测信息自动带入</w:t>
            </w:r>
          </w:p>
        </w:tc>
      </w:tr>
      <w:tr w14:paraId="5008D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Merge w:val="restart"/>
            <w:vAlign w:val="center"/>
          </w:tcPr>
          <w:p w14:paraId="2B03FDD8">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自动更新</w:t>
            </w:r>
          </w:p>
        </w:tc>
        <w:tc>
          <w:tcPr>
            <w:tcW w:w="3492" w:type="pct"/>
            <w:vAlign w:val="top"/>
          </w:tcPr>
          <w:p w14:paraId="587D17FF">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暴露食品信息可同步自动更新</w:t>
            </w:r>
          </w:p>
        </w:tc>
      </w:tr>
      <w:tr w14:paraId="6AB53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Merge w:val="continue"/>
            <w:vAlign w:val="center"/>
          </w:tcPr>
          <w:p w14:paraId="79BB6119">
            <w:pPr>
              <w:pStyle w:val="6"/>
              <w:keepNext w:val="0"/>
              <w:keepLines w:val="0"/>
              <w:widowControl/>
              <w:suppressLineNumbers w:val="0"/>
              <w:ind w:left="0" w:leftChars="0" w:right="0" w:rightChars="0"/>
              <w:rPr>
                <w:rFonts w:hint="eastAsia" w:ascii="宋体" w:hAnsi="宋体" w:eastAsia="宋体" w:cs="宋体"/>
                <w:color w:val="auto"/>
                <w:sz w:val="24"/>
                <w:szCs w:val="24"/>
                <w:highlight w:val="none"/>
                <w:shd w:val="clear" w:color="auto" w:fill="auto"/>
              </w:rPr>
            </w:pPr>
          </w:p>
        </w:tc>
        <w:tc>
          <w:tcPr>
            <w:tcW w:w="3492" w:type="pct"/>
            <w:vAlign w:val="top"/>
          </w:tcPr>
          <w:p w14:paraId="1A84414B">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数据字典可同步自动更新</w:t>
            </w:r>
          </w:p>
        </w:tc>
      </w:tr>
      <w:tr w14:paraId="5F3AE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Merge w:val="continue"/>
            <w:vAlign w:val="center"/>
          </w:tcPr>
          <w:p w14:paraId="7E8B7195">
            <w:pPr>
              <w:pStyle w:val="6"/>
              <w:keepNext w:val="0"/>
              <w:keepLines w:val="0"/>
              <w:widowControl/>
              <w:suppressLineNumbers w:val="0"/>
              <w:ind w:left="0" w:leftChars="0" w:right="0" w:rightChars="0"/>
              <w:rPr>
                <w:rFonts w:hint="eastAsia" w:ascii="宋体" w:hAnsi="宋体" w:eastAsia="宋体" w:cs="宋体"/>
                <w:color w:val="auto"/>
                <w:sz w:val="24"/>
                <w:szCs w:val="24"/>
                <w:highlight w:val="none"/>
                <w:shd w:val="clear" w:color="auto" w:fill="auto"/>
              </w:rPr>
            </w:pPr>
          </w:p>
        </w:tc>
        <w:tc>
          <w:tcPr>
            <w:tcW w:w="3492" w:type="pct"/>
            <w:vAlign w:val="top"/>
          </w:tcPr>
          <w:p w14:paraId="6021F978">
            <w:pPr>
              <w:pStyle w:val="6"/>
              <w:keepNext w:val="0"/>
              <w:keepLines w:val="0"/>
              <w:widowControl/>
              <w:suppressLineNumbers w:val="0"/>
              <w:ind w:left="0" w:leftChars="0" w:right="0" w:rightChars="0"/>
              <w:rPr>
                <w:rFonts w:hint="eastAsia" w:ascii="宋体" w:hAnsi="宋体" w:eastAsia="宋体" w:cs="宋体"/>
                <w:sz w:val="24"/>
                <w:szCs w:val="24"/>
                <w:highlight w:val="none"/>
                <w:vertAlign w:val="baseline"/>
              </w:rPr>
            </w:pPr>
            <w:r>
              <w:rPr>
                <w:rFonts w:hint="eastAsia" w:ascii="宋体" w:hAnsi="宋体" w:eastAsia="宋体" w:cs="宋体"/>
                <w:color w:val="auto"/>
                <w:sz w:val="24"/>
                <w:szCs w:val="24"/>
                <w:highlight w:val="none"/>
                <w:shd w:val="clear" w:color="auto" w:fill="auto"/>
              </w:rPr>
              <w:t>接口IP可同步自动更新</w:t>
            </w:r>
          </w:p>
        </w:tc>
      </w:tr>
      <w:tr w14:paraId="03AFE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pct"/>
            <w:vAlign w:val="center"/>
          </w:tcPr>
          <w:p w14:paraId="2CE6BC5D">
            <w:pPr>
              <w:pStyle w:val="6"/>
              <w:keepNext w:val="0"/>
              <w:keepLines w:val="0"/>
              <w:widowControl/>
              <w:suppressLineNumbers w:val="0"/>
              <w:ind w:left="0" w:leftChars="0" w:right="0" w:rightChars="0"/>
              <w:rPr>
                <w:rFonts w:hint="eastAsia" w:ascii="宋体" w:hAnsi="宋体" w:eastAsia="宋体" w:cs="宋体"/>
                <w:color w:val="auto"/>
                <w:sz w:val="24"/>
                <w:szCs w:val="24"/>
                <w:highlight w:val="none"/>
                <w:shd w:val="clear" w:color="auto" w:fill="auto"/>
                <w:lang w:eastAsia="zh-CN"/>
              </w:rPr>
            </w:pPr>
            <w:r>
              <w:rPr>
                <w:rFonts w:hint="eastAsia" w:cs="宋体"/>
                <w:color w:val="auto"/>
                <w:sz w:val="24"/>
                <w:szCs w:val="24"/>
                <w:highlight w:val="none"/>
                <w:shd w:val="clear" w:color="auto" w:fill="auto"/>
                <w:lang w:val="en-US" w:eastAsia="zh-CN"/>
              </w:rPr>
              <w:t>升级</w:t>
            </w:r>
          </w:p>
        </w:tc>
        <w:tc>
          <w:tcPr>
            <w:tcW w:w="3492" w:type="pct"/>
          </w:tcPr>
          <w:p w14:paraId="2558D0AF">
            <w:pPr>
              <w:jc w:val="both"/>
              <w:rPr>
                <w:rFonts w:hint="eastAsia" w:ascii="宋体" w:hAnsi="宋体" w:eastAsia="宋体" w:cs="宋体"/>
                <w:sz w:val="24"/>
                <w:szCs w:val="24"/>
                <w:highlight w:val="none"/>
                <w:vertAlign w:val="baseline"/>
              </w:rPr>
            </w:pPr>
            <w:r>
              <w:rPr>
                <w:rFonts w:hint="eastAsia" w:ascii="宋体" w:hAnsi="宋体" w:eastAsia="宋体" w:cs="宋体"/>
                <w:sz w:val="24"/>
                <w:szCs w:val="24"/>
                <w:highlight w:val="none"/>
              </w:rPr>
              <w:t>可与国家等平台同步免费升级</w:t>
            </w:r>
          </w:p>
        </w:tc>
      </w:tr>
    </w:tbl>
    <w:p w14:paraId="68875DA9">
      <w:pPr>
        <w:pStyle w:val="2"/>
        <w:rPr>
          <w:rFonts w:hint="eastAsia"/>
          <w:highlight w:val="none"/>
        </w:rPr>
      </w:pPr>
    </w:p>
    <w:p w14:paraId="2AEA344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rPr>
        <w:t>（</w:t>
      </w:r>
      <w:r>
        <w:rPr>
          <w:rFonts w:hint="eastAsia" w:asciiTheme="minorEastAsia" w:hAnsiTheme="minorEastAsia" w:cstheme="minorEastAsia"/>
          <w:b/>
          <w:bCs/>
          <w:sz w:val="24"/>
          <w:szCs w:val="24"/>
          <w:highlight w:val="none"/>
          <w:lang w:val="en-US" w:eastAsia="zh-CN"/>
        </w:rPr>
        <w:t>二</w:t>
      </w:r>
      <w:r>
        <w:rPr>
          <w:rFonts w:hint="eastAsia" w:asciiTheme="minorEastAsia" w:hAnsiTheme="minorEastAsia" w:eastAsiaTheme="minorEastAsia" w:cstheme="minorEastAsia"/>
          <w:b/>
          <w:bCs/>
          <w:sz w:val="24"/>
          <w:szCs w:val="24"/>
          <w:highlight w:val="none"/>
        </w:rPr>
        <w:t>）升级功能</w:t>
      </w:r>
    </w:p>
    <w:p w14:paraId="538824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软件应具备自动检测更新功能，可及时获取并安装最新版本。升级过程应不影响医院正常的监测工作，且升级后能够保持与医院 HIS 系统以及国家直报系统的兼容性。在升级过程中，需有完善的备份和恢复机制，防止因升级失败导致的数据丢失或系统故障。同时，软件升级应遵循相关的信息安全标准，确保系统安全。</w:t>
      </w:r>
    </w:p>
    <w:p w14:paraId="3703B4D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w:t>
      </w:r>
      <w:r>
        <w:rPr>
          <w:rFonts w:hint="eastAsia" w:asciiTheme="minorEastAsia" w:hAnsiTheme="minorEastAsia" w:cstheme="minorEastAsia"/>
          <w:b/>
          <w:bCs/>
          <w:sz w:val="24"/>
          <w:szCs w:val="24"/>
          <w:lang w:eastAsia="zh-CN"/>
        </w:rPr>
        <w:t>三</w:t>
      </w:r>
      <w:r>
        <w:rPr>
          <w:rFonts w:hint="eastAsia" w:asciiTheme="minorEastAsia" w:hAnsiTheme="minorEastAsia" w:eastAsiaTheme="minorEastAsia" w:cstheme="minorEastAsia"/>
          <w:b/>
          <w:bCs/>
          <w:sz w:val="24"/>
          <w:szCs w:val="24"/>
        </w:rPr>
        <w:t>）维保</w:t>
      </w:r>
      <w:r>
        <w:rPr>
          <w:rFonts w:hint="eastAsia" w:asciiTheme="minorEastAsia" w:hAnsiTheme="minorEastAsia" w:cstheme="minorEastAsia"/>
          <w:b/>
          <w:bCs/>
          <w:sz w:val="24"/>
          <w:szCs w:val="24"/>
          <w:lang w:eastAsia="zh-CN"/>
        </w:rPr>
        <w:t>服务</w:t>
      </w:r>
      <w:r>
        <w:rPr>
          <w:rFonts w:hint="eastAsia" w:asciiTheme="minorEastAsia" w:hAnsiTheme="minorEastAsia" w:eastAsiaTheme="minorEastAsia" w:cstheme="minorEastAsia"/>
          <w:b/>
          <w:bCs/>
          <w:sz w:val="24"/>
          <w:szCs w:val="24"/>
        </w:rPr>
        <w:t>标准</w:t>
      </w:r>
    </w:p>
    <w:p w14:paraId="47824B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提供7</w:t>
      </w:r>
      <w:r>
        <w:rPr>
          <w:rFonts w:hint="eastAsia" w:asciiTheme="minorEastAsia" w:hAnsiTheme="minorEastAsia" w:cstheme="minorEastAsia"/>
          <w:sz w:val="24"/>
          <w:szCs w:val="24"/>
          <w:lang w:val="en-US" w:eastAsia="zh-CN"/>
        </w:rPr>
        <w:t>x</w:t>
      </w:r>
      <w:r>
        <w:rPr>
          <w:rFonts w:hint="eastAsia" w:asciiTheme="minorEastAsia" w:hAnsiTheme="minorEastAsia" w:eastAsiaTheme="minorEastAsia" w:cstheme="minorEastAsia"/>
          <w:sz w:val="24"/>
          <w:szCs w:val="24"/>
        </w:rPr>
        <w:t>24小时的技术支持服务，确保系统在出现故障时能够及时响应。对于一般性故障，应在 2 小时内解决；对于重大故障，需在 4 小时内提出应急解决方案，并在 24 小时内彻底解决问题。定期对系统进行巡检，</w:t>
      </w:r>
      <w:r>
        <w:rPr>
          <w:rFonts w:hint="eastAsia" w:asciiTheme="minorEastAsia" w:hAnsiTheme="minorEastAsia" w:eastAsiaTheme="minorEastAsia" w:cstheme="minorEastAsia"/>
          <w:sz w:val="24"/>
          <w:szCs w:val="24"/>
          <w:highlight w:val="none"/>
        </w:rPr>
        <w:t>每</w:t>
      </w:r>
      <w:r>
        <w:rPr>
          <w:rFonts w:hint="eastAsia" w:asciiTheme="minorEastAsia" w:hAnsiTheme="minorEastAsia" w:cstheme="minorEastAsia"/>
          <w:sz w:val="24"/>
          <w:szCs w:val="24"/>
          <w:highlight w:val="none"/>
          <w:lang w:val="en-US" w:eastAsia="zh-CN"/>
        </w:rPr>
        <w:t>半年</w:t>
      </w:r>
      <w:r>
        <w:rPr>
          <w:rFonts w:hint="eastAsia" w:asciiTheme="minorEastAsia" w:hAnsiTheme="minorEastAsia" w:eastAsiaTheme="minorEastAsia" w:cstheme="minorEastAsia"/>
          <w:sz w:val="24"/>
          <w:szCs w:val="24"/>
          <w:highlight w:val="none"/>
        </w:rPr>
        <w:t>至少一次</w:t>
      </w:r>
      <w:r>
        <w:rPr>
          <w:rFonts w:hint="eastAsia" w:asciiTheme="minorEastAsia" w:hAnsiTheme="minorEastAsia" w:eastAsiaTheme="minorEastAsia" w:cstheme="minorEastAsia"/>
          <w:sz w:val="24"/>
          <w:szCs w:val="24"/>
        </w:rPr>
        <w:t>，检查系统运行状态、数据传输情况等，并出具巡检报告。同时，应根据国家相关政策和标准的变化，及时对系统进行优化和调整，保证系统始终符合监测要求。</w:t>
      </w:r>
    </w:p>
    <w:p w14:paraId="46C887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rPr>
        <w:t>在维保期限内，投标人需</w:t>
      </w:r>
      <w:r>
        <w:rPr>
          <w:rFonts w:hint="eastAsia" w:asciiTheme="minorEastAsia" w:hAnsiTheme="minorEastAsia" w:cstheme="minorEastAsia"/>
          <w:b w:val="0"/>
          <w:bCs w:val="0"/>
          <w:sz w:val="24"/>
          <w:szCs w:val="24"/>
          <w:lang w:val="en-US" w:eastAsia="zh-CN"/>
        </w:rPr>
        <w:t>免费</w:t>
      </w:r>
      <w:r>
        <w:rPr>
          <w:rFonts w:hint="eastAsia" w:asciiTheme="minorEastAsia" w:hAnsiTheme="minorEastAsia" w:eastAsiaTheme="minorEastAsia" w:cstheme="minorEastAsia"/>
          <w:b w:val="0"/>
          <w:bCs w:val="0"/>
          <w:sz w:val="24"/>
          <w:szCs w:val="24"/>
        </w:rPr>
        <w:t>承担系统的所有维护和升级工作，确保系统稳定运行。</w:t>
      </w:r>
      <w:r>
        <w:rPr>
          <w:rFonts w:hint="eastAsia" w:asciiTheme="minorEastAsia" w:hAnsiTheme="minorEastAsia" w:cstheme="minorEastAsia"/>
          <w:b w:val="0"/>
          <w:bCs w:val="0"/>
          <w:sz w:val="24"/>
          <w:szCs w:val="24"/>
          <w:lang w:val="en-US" w:eastAsia="zh-CN"/>
        </w:rPr>
        <w:t>维保期满后，甲方可与中标方签订维保协议，每年的维保费不得高于项目建设费用的10%。</w:t>
      </w:r>
    </w:p>
    <w:p w14:paraId="38C15E4C">
      <w:pPr>
        <w:pStyle w:val="2"/>
        <w:rPr>
          <w:rFonts w:hint="default"/>
          <w:lang w:val="en-US" w:eastAsia="zh-CN"/>
        </w:rPr>
      </w:pPr>
    </w:p>
    <w:p w14:paraId="0A142012">
      <w:pPr>
        <w:pStyle w:val="5"/>
        <w:ind w:firstLine="480" w:firstLineChars="200"/>
        <w:rPr>
          <w:rFonts w:hint="eastAsia" w:hAnsi="宋体" w:cs="宋体"/>
          <w:b w:val="0"/>
          <w:bCs w:val="0"/>
          <w:color w:val="auto"/>
          <w:sz w:val="24"/>
          <w:szCs w:val="24"/>
          <w:lang w:val="en-US" w:eastAsia="zh-CN"/>
        </w:rPr>
      </w:pPr>
    </w:p>
    <w:p w14:paraId="4AA8A0BB">
      <w:pPr>
        <w:pStyle w:val="5"/>
        <w:rPr>
          <w:rFonts w:hint="eastAsia" w:hAnsi="宋体" w:cs="宋体"/>
          <w:b/>
          <w:bCs/>
          <w:color w:val="auto"/>
          <w:sz w:val="24"/>
          <w:szCs w:val="24"/>
          <w:lang w:val="en-US" w:eastAsia="zh-CN"/>
        </w:rPr>
      </w:pPr>
    </w:p>
    <w:p w14:paraId="3E8527BF">
      <w:pPr>
        <w:rPr>
          <w:rFonts w:hint="eastAsia" w:hAnsi="宋体" w:cs="宋体"/>
          <w:b/>
          <w:bCs/>
          <w:color w:val="auto"/>
          <w:sz w:val="24"/>
          <w:szCs w:val="24"/>
          <w:lang w:val="en-US" w:eastAsia="zh-CN"/>
        </w:rPr>
      </w:pPr>
      <w:r>
        <w:rPr>
          <w:rFonts w:hint="eastAsia" w:hAnsi="宋体" w:cs="宋体"/>
          <w:b/>
          <w:bCs/>
          <w:color w:val="auto"/>
          <w:sz w:val="24"/>
          <w:szCs w:val="24"/>
          <w:lang w:val="en-US" w:eastAsia="zh-CN"/>
        </w:rPr>
        <w:br w:type="page"/>
      </w:r>
    </w:p>
    <w:p w14:paraId="0DA32C43">
      <w:pPr>
        <w:pStyle w:val="5"/>
        <w:rPr>
          <w:rFonts w:hint="eastAsia" w:hAnsi="宋体" w:cs="宋体"/>
          <w:b/>
          <w:bCs/>
          <w:color w:val="auto"/>
          <w:sz w:val="24"/>
          <w:szCs w:val="24"/>
          <w:lang w:val="en-US" w:eastAsia="zh-CN"/>
        </w:rPr>
      </w:pPr>
      <w:r>
        <w:rPr>
          <w:rFonts w:hint="eastAsia" w:hAnsi="宋体" w:cs="宋体"/>
          <w:b/>
          <w:bCs/>
          <w:color w:val="auto"/>
          <w:sz w:val="24"/>
          <w:szCs w:val="24"/>
          <w:lang w:val="en-US" w:eastAsia="zh-CN"/>
        </w:rPr>
        <w:t>三、评分细则（10分）</w:t>
      </w: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0"/>
        <w:gridCol w:w="1345"/>
        <w:gridCol w:w="2315"/>
        <w:gridCol w:w="4858"/>
      </w:tblGrid>
      <w:tr w14:paraId="12D7D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5000" w:type="pct"/>
            <w:gridSpan w:val="4"/>
            <w:tcBorders>
              <w:top w:val="nil"/>
              <w:left w:val="nil"/>
              <w:bottom w:val="nil"/>
              <w:right w:val="nil"/>
            </w:tcBorders>
            <w:shd w:val="clear" w:color="auto" w:fill="auto"/>
            <w:noWrap/>
            <w:vAlign w:val="center"/>
          </w:tcPr>
          <w:p w14:paraId="6F438778">
            <w:pPr>
              <w:keepNext w:val="0"/>
              <w:keepLines w:val="0"/>
              <w:widowControl/>
              <w:suppressLineNumbers w:val="0"/>
              <w:jc w:val="left"/>
              <w:textAlignment w:val="center"/>
              <w:rPr>
                <w:rFonts w:ascii="方正小标宋简体" w:hAnsi="方正小标宋简体" w:eastAsia="方正小标宋简体" w:cs="方正小标宋简体"/>
                <w:b/>
                <w:bCs/>
                <w:i w:val="0"/>
                <w:iCs w:val="0"/>
                <w:color w:val="auto"/>
                <w:sz w:val="28"/>
                <w:szCs w:val="28"/>
                <w:u w:val="none"/>
              </w:rPr>
            </w:pPr>
          </w:p>
        </w:tc>
      </w:tr>
      <w:tr w14:paraId="6462B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8"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5B18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w:t>
            </w:r>
          </w:p>
        </w:tc>
        <w:tc>
          <w:tcPr>
            <w:tcW w:w="19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8C1A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主要内容及分值</w:t>
            </w:r>
          </w:p>
        </w:tc>
        <w:tc>
          <w:tcPr>
            <w:tcW w:w="26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A1DC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评分方法</w:t>
            </w:r>
          </w:p>
        </w:tc>
      </w:tr>
      <w:tr w14:paraId="7A765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8"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1F30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一</w:t>
            </w:r>
          </w:p>
        </w:tc>
        <w:tc>
          <w:tcPr>
            <w:tcW w:w="19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5ED70">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报价  3分</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1BB42">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报价最低的供应商的价格为基准价，其价格分为满分。其他供应商的价格分统一按照下列公式计算:</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报价得分=(基准价/最后报价)*30%*10</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注:小数点后保留2位有效数字</w:t>
            </w:r>
          </w:p>
        </w:tc>
      </w:tr>
      <w:tr w14:paraId="49808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7" w:hRule="atLeast"/>
        </w:trPr>
        <w:tc>
          <w:tcPr>
            <w:tcW w:w="41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54A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二</w:t>
            </w:r>
          </w:p>
        </w:tc>
        <w:tc>
          <w:tcPr>
            <w:tcW w:w="7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ACAC62">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技术方案</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6分</w:t>
            </w:r>
          </w:p>
        </w:tc>
        <w:tc>
          <w:tcPr>
            <w:tcW w:w="12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BD861">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工作方案</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0-4分</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DCD39">
            <w:pPr>
              <w:keepNext w:val="0"/>
              <w:keepLines w:val="0"/>
              <w:widowControl/>
              <w:numPr>
                <w:ilvl w:val="0"/>
                <w:numId w:val="0"/>
              </w:numPr>
              <w:suppressLineNumbers w:val="0"/>
              <w:jc w:val="left"/>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lang w:val="en-US" w:eastAsia="zh-CN" w:bidi="ar"/>
              </w:rPr>
              <w:t>1、</w:t>
            </w:r>
            <w:r>
              <w:rPr>
                <w:rFonts w:hint="eastAsia" w:ascii="宋体" w:hAnsi="宋体" w:eastAsia="宋体" w:cs="宋体"/>
                <w:i w:val="0"/>
                <w:iCs w:val="0"/>
                <w:color w:val="auto"/>
                <w:kern w:val="0"/>
                <w:sz w:val="24"/>
                <w:szCs w:val="24"/>
                <w:u w:val="none"/>
                <w:lang w:val="en-US" w:eastAsia="zh-CN" w:bidi="ar"/>
              </w:rPr>
              <w:t>根据供应商针对本项目提供的项目方案实施过程的完整性、全面性，</w:t>
            </w:r>
            <w:r>
              <w:rPr>
                <w:rFonts w:hint="eastAsia" w:asciiTheme="minorEastAsia" w:hAnsiTheme="minorEastAsia" w:eastAsiaTheme="minorEastAsia" w:cstheme="minorEastAsia"/>
                <w:sz w:val="24"/>
                <w:szCs w:val="24"/>
              </w:rPr>
              <w:t>包括系统设计、建设计划</w:t>
            </w:r>
            <w:r>
              <w:rPr>
                <w:rFonts w:hint="eastAsia" w:asciiTheme="minorEastAsia" w:hAnsiTheme="minorEastAsia" w:cstheme="minorEastAsia"/>
                <w:sz w:val="24"/>
                <w:szCs w:val="24"/>
                <w:lang w:eastAsia="zh-CN"/>
              </w:rPr>
              <w:t>等</w:t>
            </w:r>
            <w:r>
              <w:rPr>
                <w:rFonts w:hint="eastAsia" w:ascii="宋体" w:hAnsi="宋体" w:eastAsia="宋体" w:cs="宋体"/>
                <w:i w:val="0"/>
                <w:iCs w:val="0"/>
                <w:color w:val="auto"/>
                <w:kern w:val="0"/>
                <w:sz w:val="24"/>
                <w:szCs w:val="24"/>
                <w:u w:val="none"/>
                <w:lang w:val="en-US" w:eastAsia="zh-CN" w:bidi="ar"/>
              </w:rPr>
              <w:t>进行评分；0-2分</w:t>
            </w:r>
          </w:p>
          <w:p w14:paraId="43612027">
            <w:pPr>
              <w:keepNext w:val="0"/>
              <w:keepLines w:val="0"/>
              <w:widowControl/>
              <w:numPr>
                <w:ilvl w:val="0"/>
                <w:numId w:val="0"/>
              </w:numPr>
              <w:suppressLineNumbers w:val="0"/>
              <w:jc w:val="left"/>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2、根据提供的产品稳定性、产品升级服务等方面进行评分；0-2分</w:t>
            </w:r>
          </w:p>
        </w:tc>
      </w:tr>
      <w:tr w14:paraId="0E0B5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6"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8DBB">
            <w:pPr>
              <w:jc w:val="center"/>
              <w:rPr>
                <w:rFonts w:hint="eastAsia" w:ascii="宋体" w:hAnsi="宋体" w:eastAsia="宋体" w:cs="宋体"/>
                <w:i w:val="0"/>
                <w:iCs w:val="0"/>
                <w:color w:val="auto"/>
                <w:sz w:val="24"/>
                <w:szCs w:val="24"/>
                <w:u w:val="none"/>
              </w:rPr>
            </w:pPr>
          </w:p>
        </w:tc>
        <w:tc>
          <w:tcPr>
            <w:tcW w:w="7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449F8">
            <w:pPr>
              <w:jc w:val="left"/>
              <w:rPr>
                <w:rFonts w:hint="eastAsia" w:ascii="宋体" w:hAnsi="宋体" w:eastAsia="宋体" w:cs="宋体"/>
                <w:i w:val="0"/>
                <w:iCs w:val="0"/>
                <w:color w:val="auto"/>
                <w:sz w:val="24"/>
                <w:szCs w:val="24"/>
                <w:u w:val="none"/>
              </w:rPr>
            </w:pPr>
          </w:p>
        </w:tc>
        <w:tc>
          <w:tcPr>
            <w:tcW w:w="12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E5456">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售后服务</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0-2分</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DB092">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根据供应商提供的工期时间、售后服务措施、响应时间、质保期内提供的质保内容和范围进行综合评分。</w:t>
            </w:r>
            <w:bookmarkStart w:id="0" w:name="_GoBack"/>
            <w:bookmarkEnd w:id="0"/>
          </w:p>
        </w:tc>
      </w:tr>
      <w:tr w14:paraId="30B22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6"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1FEDD">
            <w:pPr>
              <w:jc w:val="center"/>
              <w:rPr>
                <w:rFonts w:hint="default"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三</w:t>
            </w:r>
          </w:p>
        </w:tc>
        <w:tc>
          <w:tcPr>
            <w:tcW w:w="197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B6D2F5">
            <w:pPr>
              <w:keepNext w:val="0"/>
              <w:keepLines w:val="0"/>
              <w:widowControl/>
              <w:suppressLineNumbers w:val="0"/>
              <w:jc w:val="left"/>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业绩 0-1分</w:t>
            </w:r>
          </w:p>
        </w:tc>
        <w:tc>
          <w:tcPr>
            <w:tcW w:w="26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F42DE">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根据供应商提供的本公司2023年以来同类型业绩进行评分。（需提供同类业绩合同复印件并加盖公章，每提供一项得0.5分。）</w:t>
            </w:r>
          </w:p>
        </w:tc>
      </w:tr>
    </w:tbl>
    <w:p w14:paraId="40E2A51A">
      <w:pPr>
        <w:rPr>
          <w:rFonts w:hint="eastAsia"/>
          <w:color w:val="auto"/>
          <w:sz w:val="32"/>
          <w:szCs w:val="32"/>
          <w:lang w:val="en-US" w:eastAsia="zh-CN"/>
        </w:rPr>
      </w:pPr>
      <w:r>
        <w:rPr>
          <w:rFonts w:hint="eastAsia"/>
          <w:b/>
          <w:bCs/>
          <w:color w:val="auto"/>
          <w:lang w:val="en-US" w:eastAsia="zh-CN"/>
        </w:rPr>
        <w:t>备注：请按照评分细则提供相关内容。</w:t>
      </w:r>
      <w:r>
        <w:rPr>
          <w:rFonts w:hint="eastAsia"/>
          <w:color w:val="auto"/>
          <w:sz w:val="32"/>
          <w:szCs w:val="32"/>
          <w:lang w:val="en-US" w:eastAsia="zh-CN"/>
        </w:rPr>
        <w:br w:type="page"/>
      </w:r>
    </w:p>
    <w:p w14:paraId="54A2FFDA">
      <w:pPr>
        <w:pStyle w:val="5"/>
        <w:jc w:val="center"/>
        <w:rPr>
          <w:rFonts w:hint="eastAsia" w:eastAsia="宋体"/>
          <w:b/>
          <w:bCs/>
          <w:sz w:val="32"/>
          <w:szCs w:val="32"/>
          <w:lang w:val="en-US" w:eastAsia="zh-CN"/>
        </w:rPr>
      </w:pPr>
      <w:r>
        <w:rPr>
          <w:rFonts w:hint="eastAsia"/>
          <w:b/>
          <w:bCs/>
          <w:sz w:val="32"/>
          <w:szCs w:val="32"/>
          <w:lang w:val="en-US" w:eastAsia="zh-CN"/>
        </w:rPr>
        <w:t>报价表</w:t>
      </w:r>
    </w:p>
    <w:tbl>
      <w:tblPr>
        <w:tblStyle w:val="7"/>
        <w:tblW w:w="8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3216"/>
        <w:gridCol w:w="4841"/>
      </w:tblGrid>
      <w:tr w14:paraId="3E47A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6" w:hRule="atLeast"/>
          <w:jc w:val="center"/>
        </w:trPr>
        <w:tc>
          <w:tcPr>
            <w:tcW w:w="782" w:type="dxa"/>
            <w:vAlign w:val="center"/>
          </w:tcPr>
          <w:p w14:paraId="4549C1D6">
            <w:pPr>
              <w:spacing w:line="500" w:lineRule="exact"/>
              <w:jc w:val="center"/>
              <w:rPr>
                <w:rFonts w:ascii="宋体"/>
                <w:b/>
                <w:sz w:val="24"/>
              </w:rPr>
            </w:pPr>
            <w:r>
              <w:rPr>
                <w:rFonts w:hint="eastAsia" w:ascii="宋体" w:hAnsi="宋体"/>
                <w:b/>
                <w:sz w:val="24"/>
              </w:rPr>
              <w:t>序号</w:t>
            </w:r>
          </w:p>
        </w:tc>
        <w:tc>
          <w:tcPr>
            <w:tcW w:w="8057" w:type="dxa"/>
            <w:gridSpan w:val="2"/>
            <w:vAlign w:val="center"/>
          </w:tcPr>
          <w:p w14:paraId="2792A17F">
            <w:pPr>
              <w:spacing w:line="500" w:lineRule="exact"/>
              <w:jc w:val="center"/>
              <w:rPr>
                <w:rFonts w:ascii="宋体"/>
                <w:b/>
                <w:sz w:val="24"/>
              </w:rPr>
            </w:pPr>
            <w:r>
              <w:rPr>
                <w:rFonts w:hint="eastAsia" w:ascii="宋体" w:hAnsi="宋体"/>
                <w:b/>
                <w:sz w:val="24"/>
              </w:rPr>
              <w:t>报</w:t>
            </w:r>
            <w:r>
              <w:rPr>
                <w:rFonts w:ascii="宋体" w:hAnsi="宋体"/>
                <w:b/>
                <w:sz w:val="24"/>
              </w:rPr>
              <w:t xml:space="preserve"> </w:t>
            </w:r>
            <w:r>
              <w:rPr>
                <w:rFonts w:hint="eastAsia" w:ascii="宋体" w:hAnsi="宋体"/>
                <w:b/>
                <w:sz w:val="24"/>
              </w:rPr>
              <w:t>价</w:t>
            </w:r>
            <w:r>
              <w:rPr>
                <w:rFonts w:ascii="宋体" w:hAnsi="宋体"/>
                <w:b/>
                <w:sz w:val="24"/>
              </w:rPr>
              <w:t xml:space="preserve"> </w:t>
            </w:r>
            <w:r>
              <w:rPr>
                <w:rFonts w:hint="eastAsia" w:ascii="宋体" w:hAnsi="宋体"/>
                <w:b/>
                <w:sz w:val="24"/>
              </w:rPr>
              <w:t>项</w:t>
            </w:r>
            <w:r>
              <w:rPr>
                <w:rFonts w:ascii="宋体" w:hAnsi="宋体"/>
                <w:b/>
                <w:sz w:val="24"/>
              </w:rPr>
              <w:t xml:space="preserve"> </w:t>
            </w:r>
            <w:r>
              <w:rPr>
                <w:rFonts w:hint="eastAsia" w:ascii="宋体" w:hAnsi="宋体"/>
                <w:b/>
                <w:sz w:val="24"/>
              </w:rPr>
              <w:t>目</w:t>
            </w:r>
            <w:r>
              <w:rPr>
                <w:rFonts w:ascii="宋体" w:hAnsi="宋体"/>
                <w:b/>
                <w:sz w:val="24"/>
              </w:rPr>
              <w:t xml:space="preserve"> </w:t>
            </w:r>
            <w:r>
              <w:rPr>
                <w:rFonts w:hint="eastAsia" w:ascii="宋体" w:hAnsi="宋体"/>
                <w:b/>
                <w:sz w:val="24"/>
              </w:rPr>
              <w:t>明</w:t>
            </w:r>
            <w:r>
              <w:rPr>
                <w:rFonts w:ascii="宋体" w:hAnsi="宋体"/>
                <w:b/>
                <w:sz w:val="24"/>
              </w:rPr>
              <w:t xml:space="preserve"> </w:t>
            </w:r>
            <w:r>
              <w:rPr>
                <w:rFonts w:hint="eastAsia" w:ascii="宋体" w:hAnsi="宋体"/>
                <w:b/>
                <w:sz w:val="24"/>
              </w:rPr>
              <w:t>细</w:t>
            </w:r>
          </w:p>
        </w:tc>
      </w:tr>
      <w:tr w14:paraId="4AB6D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8" w:hRule="atLeast"/>
          <w:jc w:val="center"/>
        </w:trPr>
        <w:tc>
          <w:tcPr>
            <w:tcW w:w="782" w:type="dxa"/>
            <w:vMerge w:val="restart"/>
            <w:vAlign w:val="center"/>
          </w:tcPr>
          <w:p w14:paraId="426B842A">
            <w:pPr>
              <w:spacing w:line="500" w:lineRule="exact"/>
              <w:jc w:val="center"/>
              <w:rPr>
                <w:rFonts w:ascii="宋体"/>
                <w:b/>
                <w:sz w:val="24"/>
              </w:rPr>
            </w:pPr>
            <w:r>
              <w:rPr>
                <w:rFonts w:hint="eastAsia" w:ascii="宋体"/>
                <w:b/>
                <w:sz w:val="24"/>
              </w:rPr>
              <w:t>1</w:t>
            </w:r>
          </w:p>
        </w:tc>
        <w:tc>
          <w:tcPr>
            <w:tcW w:w="3216" w:type="dxa"/>
            <w:vAlign w:val="center"/>
          </w:tcPr>
          <w:p w14:paraId="334AFB74">
            <w:pPr>
              <w:spacing w:line="500" w:lineRule="exact"/>
              <w:ind w:left="120" w:hanging="120" w:hangingChars="50"/>
              <w:jc w:val="center"/>
              <w:textAlignment w:val="baseline"/>
              <w:rPr>
                <w:rFonts w:ascii="宋体"/>
                <w:sz w:val="24"/>
              </w:rPr>
            </w:pPr>
            <w:r>
              <w:rPr>
                <w:rFonts w:hint="eastAsia" w:ascii="宋体"/>
                <w:sz w:val="24"/>
              </w:rPr>
              <w:t>内容</w:t>
            </w:r>
          </w:p>
        </w:tc>
        <w:tc>
          <w:tcPr>
            <w:tcW w:w="4841" w:type="dxa"/>
            <w:vAlign w:val="center"/>
          </w:tcPr>
          <w:p w14:paraId="6E5453DA">
            <w:pPr>
              <w:spacing w:line="500" w:lineRule="exact"/>
              <w:jc w:val="center"/>
              <w:rPr>
                <w:rFonts w:hint="eastAsia" w:ascii="宋体" w:eastAsiaTheme="minorEastAsia"/>
                <w:sz w:val="24"/>
                <w:lang w:eastAsia="zh-CN"/>
              </w:rPr>
            </w:pPr>
            <w:r>
              <w:rPr>
                <w:rFonts w:hint="eastAsia" w:ascii="宋体"/>
                <w:sz w:val="24"/>
                <w:lang w:eastAsia="zh-CN"/>
              </w:rPr>
              <w:t>聊城市眼科医院</w:t>
            </w:r>
            <w:r>
              <w:rPr>
                <w:rFonts w:hint="eastAsia" w:ascii="宋体"/>
                <w:sz w:val="24"/>
                <w:lang w:val="en-US" w:eastAsia="zh-CN"/>
              </w:rPr>
              <w:t>食源性疾病病历监测智能采集项目</w:t>
            </w:r>
          </w:p>
        </w:tc>
      </w:tr>
      <w:tr w14:paraId="496F8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8" w:hRule="atLeast"/>
          <w:jc w:val="center"/>
        </w:trPr>
        <w:tc>
          <w:tcPr>
            <w:tcW w:w="782" w:type="dxa"/>
            <w:vMerge w:val="continue"/>
            <w:vAlign w:val="center"/>
          </w:tcPr>
          <w:p w14:paraId="6FEBCC88">
            <w:pPr>
              <w:spacing w:line="500" w:lineRule="exact"/>
              <w:jc w:val="center"/>
              <w:rPr>
                <w:rFonts w:ascii="宋体"/>
                <w:b/>
                <w:sz w:val="24"/>
              </w:rPr>
            </w:pPr>
          </w:p>
        </w:tc>
        <w:tc>
          <w:tcPr>
            <w:tcW w:w="3216" w:type="dxa"/>
            <w:vAlign w:val="center"/>
          </w:tcPr>
          <w:p w14:paraId="5CBC6C6E">
            <w:pPr>
              <w:spacing w:line="500" w:lineRule="exact"/>
              <w:ind w:left="120" w:hanging="120" w:hangingChars="50"/>
              <w:jc w:val="center"/>
              <w:textAlignment w:val="baseline"/>
              <w:rPr>
                <w:rFonts w:ascii="宋体"/>
                <w:sz w:val="24"/>
                <w:highlight w:val="none"/>
              </w:rPr>
            </w:pPr>
            <w:r>
              <w:rPr>
                <w:rFonts w:hint="eastAsia" w:ascii="宋体" w:hAnsi="宋体"/>
                <w:sz w:val="24"/>
                <w:highlight w:val="none"/>
              </w:rPr>
              <w:t>报价</w:t>
            </w:r>
          </w:p>
        </w:tc>
        <w:tc>
          <w:tcPr>
            <w:tcW w:w="4841" w:type="dxa"/>
            <w:vAlign w:val="center"/>
          </w:tcPr>
          <w:p w14:paraId="09056B99">
            <w:pPr>
              <w:spacing w:line="500" w:lineRule="exact"/>
              <w:rPr>
                <w:rFonts w:hint="default" w:ascii="宋体" w:eastAsiaTheme="minorEastAsia"/>
                <w:sz w:val="24"/>
                <w:highlight w:val="none"/>
                <w:u w:val="single"/>
                <w:lang w:val="en-US" w:eastAsia="zh-CN"/>
              </w:rPr>
            </w:pPr>
            <w:r>
              <w:rPr>
                <w:rFonts w:hint="eastAsia" w:ascii="宋体" w:hAnsi="宋体"/>
                <w:sz w:val="24"/>
                <w:highlight w:val="none"/>
              </w:rPr>
              <w:t>大写：</w:t>
            </w:r>
            <w:r>
              <w:rPr>
                <w:rFonts w:hint="eastAsia" w:ascii="宋体" w:hAnsi="宋体"/>
                <w:sz w:val="24"/>
                <w:highlight w:val="none"/>
                <w:u w:val="single"/>
                <w:lang w:val="en-US" w:eastAsia="zh-CN"/>
              </w:rPr>
              <w:t xml:space="preserve">              </w:t>
            </w:r>
          </w:p>
          <w:p w14:paraId="49EEEDAC">
            <w:pPr>
              <w:spacing w:line="500" w:lineRule="exact"/>
              <w:rPr>
                <w:rFonts w:ascii="宋体"/>
                <w:sz w:val="24"/>
                <w:highlight w:val="none"/>
              </w:rPr>
            </w:pPr>
            <w:r>
              <w:rPr>
                <w:rFonts w:hint="eastAsia" w:ascii="宋体" w:hAnsi="宋体"/>
                <w:sz w:val="24"/>
                <w:highlight w:val="none"/>
              </w:rPr>
              <w:t>小写：</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万元</w:t>
            </w:r>
          </w:p>
        </w:tc>
      </w:tr>
      <w:tr w14:paraId="18BD0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82" w:type="dxa"/>
            <w:vAlign w:val="center"/>
          </w:tcPr>
          <w:p w14:paraId="6FC794B4">
            <w:pPr>
              <w:spacing w:line="500" w:lineRule="exact"/>
              <w:jc w:val="center"/>
              <w:rPr>
                <w:rFonts w:ascii="宋体"/>
                <w:b/>
                <w:sz w:val="24"/>
              </w:rPr>
            </w:pPr>
            <w:r>
              <w:rPr>
                <w:rFonts w:ascii="宋体" w:hAnsi="宋体"/>
                <w:b/>
                <w:sz w:val="24"/>
              </w:rPr>
              <w:t>2</w:t>
            </w:r>
          </w:p>
        </w:tc>
        <w:tc>
          <w:tcPr>
            <w:tcW w:w="3216" w:type="dxa"/>
            <w:vAlign w:val="center"/>
          </w:tcPr>
          <w:p w14:paraId="2EB3EB2B">
            <w:pPr>
              <w:spacing w:line="500" w:lineRule="exact"/>
              <w:jc w:val="center"/>
              <w:rPr>
                <w:rFonts w:hint="eastAsia" w:ascii="宋体" w:eastAsiaTheme="minorEastAsia"/>
                <w:sz w:val="24"/>
                <w:lang w:eastAsia="zh-CN"/>
              </w:rPr>
            </w:pPr>
            <w:r>
              <w:rPr>
                <w:rFonts w:hint="eastAsia" w:ascii="宋体" w:hAnsi="宋体"/>
                <w:sz w:val="24"/>
                <w:lang w:eastAsia="zh-CN"/>
              </w:rPr>
              <w:t>付款方式是否满足</w:t>
            </w:r>
          </w:p>
        </w:tc>
        <w:tc>
          <w:tcPr>
            <w:tcW w:w="4841" w:type="dxa"/>
            <w:vAlign w:val="center"/>
          </w:tcPr>
          <w:p w14:paraId="755462A5">
            <w:pPr>
              <w:spacing w:line="500" w:lineRule="exact"/>
              <w:jc w:val="center"/>
              <w:rPr>
                <w:rFonts w:hint="eastAsia" w:ascii="宋体" w:eastAsiaTheme="minorEastAsia"/>
                <w:sz w:val="24"/>
                <w:lang w:eastAsia="zh-CN"/>
              </w:rPr>
            </w:pPr>
            <w:r>
              <w:rPr>
                <w:rFonts w:ascii="宋体"/>
                <w:sz w:val="24"/>
              </w:rPr>
              <w:sym w:font="Wingdings" w:char="00A8"/>
            </w:r>
            <w:r>
              <w:rPr>
                <w:rFonts w:hint="eastAsia" w:ascii="宋体"/>
                <w:sz w:val="24"/>
                <w:lang w:eastAsia="zh-CN"/>
              </w:rPr>
              <w:t>是</w:t>
            </w:r>
            <w:r>
              <w:rPr>
                <w:rFonts w:hint="eastAsia" w:ascii="宋体"/>
                <w:sz w:val="24"/>
                <w:lang w:val="en-US" w:eastAsia="zh-CN"/>
              </w:rPr>
              <w:t xml:space="preserve">         </w:t>
            </w:r>
            <w:r>
              <w:rPr>
                <w:rFonts w:hint="eastAsia" w:ascii="宋体"/>
                <w:sz w:val="24"/>
                <w:lang w:eastAsia="zh-CN"/>
              </w:rPr>
              <w:sym w:font="Wingdings" w:char="00A8"/>
            </w:r>
            <w:r>
              <w:rPr>
                <w:rFonts w:hint="eastAsia" w:ascii="宋体"/>
                <w:sz w:val="24"/>
                <w:lang w:eastAsia="zh-CN"/>
              </w:rPr>
              <w:t>否</w:t>
            </w:r>
          </w:p>
        </w:tc>
      </w:tr>
      <w:tr w14:paraId="296B4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82" w:type="dxa"/>
            <w:vAlign w:val="center"/>
          </w:tcPr>
          <w:p w14:paraId="201C5366">
            <w:pPr>
              <w:spacing w:line="500" w:lineRule="exact"/>
              <w:jc w:val="center"/>
              <w:rPr>
                <w:rFonts w:hint="eastAsia" w:ascii="宋体" w:hAnsi="宋体" w:eastAsiaTheme="minorEastAsia"/>
                <w:b/>
                <w:sz w:val="24"/>
                <w:lang w:val="en-US" w:eastAsia="zh-CN"/>
              </w:rPr>
            </w:pPr>
            <w:r>
              <w:rPr>
                <w:rFonts w:hint="eastAsia" w:ascii="宋体" w:hAnsi="宋体"/>
                <w:b/>
                <w:sz w:val="24"/>
                <w:lang w:val="en-US" w:eastAsia="zh-CN"/>
              </w:rPr>
              <w:t>3</w:t>
            </w:r>
          </w:p>
        </w:tc>
        <w:tc>
          <w:tcPr>
            <w:tcW w:w="3216" w:type="dxa"/>
            <w:vAlign w:val="center"/>
          </w:tcPr>
          <w:p w14:paraId="400F2147">
            <w:pPr>
              <w:jc w:val="center"/>
              <w:rPr>
                <w:rFonts w:hint="eastAsia"/>
                <w:lang w:eastAsia="zh-CN"/>
              </w:rPr>
            </w:pPr>
            <w:r>
              <w:rPr>
                <w:rFonts w:hint="eastAsia" w:ascii="宋体"/>
                <w:sz w:val="24"/>
                <w:lang w:eastAsia="zh-CN"/>
              </w:rPr>
              <w:t>工期是否满足</w:t>
            </w:r>
          </w:p>
        </w:tc>
        <w:tc>
          <w:tcPr>
            <w:tcW w:w="4841" w:type="dxa"/>
            <w:vAlign w:val="center"/>
          </w:tcPr>
          <w:p w14:paraId="05AA8716">
            <w:pPr>
              <w:spacing w:line="500" w:lineRule="exact"/>
              <w:jc w:val="center"/>
              <w:rPr>
                <w:rFonts w:hint="eastAsia" w:ascii="宋体" w:eastAsiaTheme="minorEastAsia"/>
                <w:sz w:val="24"/>
                <w:lang w:eastAsia="zh-CN"/>
              </w:rPr>
            </w:pPr>
            <w:r>
              <w:rPr>
                <w:rFonts w:ascii="宋体"/>
                <w:sz w:val="24"/>
              </w:rPr>
              <w:sym w:font="Wingdings" w:char="00A8"/>
            </w:r>
            <w:r>
              <w:rPr>
                <w:rFonts w:hint="eastAsia" w:ascii="宋体"/>
                <w:sz w:val="24"/>
                <w:lang w:eastAsia="zh-CN"/>
              </w:rPr>
              <w:t>是</w:t>
            </w:r>
            <w:r>
              <w:rPr>
                <w:rFonts w:hint="eastAsia" w:ascii="宋体"/>
                <w:sz w:val="24"/>
                <w:lang w:val="en-US" w:eastAsia="zh-CN"/>
              </w:rPr>
              <w:t xml:space="preserve">         </w:t>
            </w:r>
            <w:r>
              <w:rPr>
                <w:rFonts w:hint="eastAsia" w:ascii="宋体"/>
                <w:sz w:val="24"/>
                <w:lang w:eastAsia="zh-CN"/>
              </w:rPr>
              <w:sym w:font="Wingdings" w:char="00A8"/>
            </w:r>
            <w:r>
              <w:rPr>
                <w:rFonts w:hint="eastAsia" w:ascii="宋体"/>
                <w:sz w:val="24"/>
                <w:lang w:eastAsia="zh-CN"/>
              </w:rPr>
              <w:t>否</w:t>
            </w:r>
          </w:p>
        </w:tc>
      </w:tr>
      <w:tr w14:paraId="6C99B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4" w:hRule="atLeast"/>
          <w:jc w:val="center"/>
        </w:trPr>
        <w:tc>
          <w:tcPr>
            <w:tcW w:w="782" w:type="dxa"/>
            <w:vAlign w:val="center"/>
          </w:tcPr>
          <w:p w14:paraId="35C118C0">
            <w:pPr>
              <w:spacing w:line="500" w:lineRule="exact"/>
              <w:jc w:val="center"/>
              <w:rPr>
                <w:rFonts w:hint="default" w:ascii="宋体" w:hAnsi="宋体"/>
                <w:b/>
                <w:sz w:val="24"/>
                <w:lang w:val="en-US" w:eastAsia="zh-CN"/>
              </w:rPr>
            </w:pPr>
            <w:r>
              <w:rPr>
                <w:rFonts w:hint="eastAsia" w:ascii="宋体" w:hAnsi="宋体"/>
                <w:b/>
                <w:sz w:val="24"/>
                <w:lang w:val="en-US" w:eastAsia="zh-CN"/>
              </w:rPr>
              <w:t>4</w:t>
            </w:r>
          </w:p>
        </w:tc>
        <w:tc>
          <w:tcPr>
            <w:tcW w:w="3216" w:type="dxa"/>
            <w:vAlign w:val="center"/>
          </w:tcPr>
          <w:p w14:paraId="597AA2EB">
            <w:pPr>
              <w:pStyle w:val="5"/>
              <w:ind w:left="0" w:leftChars="0" w:right="0" w:rightChars="0"/>
              <w:jc w:val="center"/>
              <w:rPr>
                <w:rFonts w:hint="eastAsia"/>
                <w:sz w:val="24"/>
                <w:lang w:eastAsia="zh-CN"/>
              </w:rPr>
            </w:pPr>
            <w:r>
              <w:rPr>
                <w:rFonts w:hint="eastAsia"/>
                <w:sz w:val="24"/>
                <w:lang w:eastAsia="zh-CN"/>
              </w:rPr>
              <w:t>是否满足医院项目要求</w:t>
            </w:r>
          </w:p>
        </w:tc>
        <w:tc>
          <w:tcPr>
            <w:tcW w:w="4841" w:type="dxa"/>
            <w:vAlign w:val="center"/>
          </w:tcPr>
          <w:p w14:paraId="5B2868C8">
            <w:pPr>
              <w:spacing w:line="500" w:lineRule="exact"/>
              <w:jc w:val="center"/>
              <w:rPr>
                <w:rFonts w:hint="eastAsia" w:ascii="宋体"/>
                <w:sz w:val="24"/>
                <w:lang w:val="en-US" w:eastAsia="zh-CN"/>
              </w:rPr>
            </w:pPr>
            <w:r>
              <w:rPr>
                <w:rFonts w:ascii="宋体"/>
                <w:sz w:val="24"/>
              </w:rPr>
              <w:sym w:font="Wingdings" w:char="00A8"/>
            </w:r>
            <w:r>
              <w:rPr>
                <w:rFonts w:hint="eastAsia" w:ascii="宋体"/>
                <w:sz w:val="24"/>
                <w:lang w:eastAsia="zh-CN"/>
              </w:rPr>
              <w:t>是</w:t>
            </w:r>
            <w:r>
              <w:rPr>
                <w:rFonts w:hint="eastAsia" w:ascii="宋体"/>
                <w:sz w:val="24"/>
                <w:lang w:val="en-US" w:eastAsia="zh-CN"/>
              </w:rPr>
              <w:t xml:space="preserve">         </w:t>
            </w:r>
            <w:r>
              <w:rPr>
                <w:rFonts w:hint="eastAsia" w:ascii="宋体"/>
                <w:sz w:val="24"/>
                <w:lang w:eastAsia="zh-CN"/>
              </w:rPr>
              <w:sym w:font="Wingdings" w:char="00A8"/>
            </w:r>
            <w:r>
              <w:rPr>
                <w:rFonts w:hint="eastAsia" w:ascii="宋体"/>
                <w:sz w:val="24"/>
                <w:lang w:eastAsia="zh-CN"/>
              </w:rPr>
              <w:t>否</w:t>
            </w:r>
          </w:p>
        </w:tc>
      </w:tr>
      <w:tr w14:paraId="0A915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4" w:hRule="atLeast"/>
          <w:jc w:val="center"/>
        </w:trPr>
        <w:tc>
          <w:tcPr>
            <w:tcW w:w="782" w:type="dxa"/>
            <w:vAlign w:val="center"/>
          </w:tcPr>
          <w:p w14:paraId="4658A3E3">
            <w:pPr>
              <w:spacing w:line="500" w:lineRule="exact"/>
              <w:jc w:val="center"/>
              <w:rPr>
                <w:rFonts w:hint="default" w:ascii="宋体" w:hAnsi="宋体"/>
                <w:b/>
                <w:sz w:val="24"/>
                <w:lang w:val="en-US" w:eastAsia="zh-CN"/>
              </w:rPr>
            </w:pPr>
            <w:r>
              <w:rPr>
                <w:rFonts w:hint="eastAsia" w:ascii="宋体" w:hAnsi="宋体"/>
                <w:b/>
                <w:sz w:val="24"/>
                <w:lang w:val="en-US" w:eastAsia="zh-CN"/>
              </w:rPr>
              <w:t>5</w:t>
            </w:r>
          </w:p>
        </w:tc>
        <w:tc>
          <w:tcPr>
            <w:tcW w:w="3216" w:type="dxa"/>
            <w:vAlign w:val="center"/>
          </w:tcPr>
          <w:p w14:paraId="5AF6B503">
            <w:pPr>
              <w:pStyle w:val="5"/>
              <w:ind w:left="0" w:leftChars="0" w:right="0" w:rightChars="0"/>
              <w:jc w:val="center"/>
              <w:rPr>
                <w:rFonts w:hint="eastAsia"/>
                <w:sz w:val="24"/>
                <w:lang w:eastAsia="zh-CN"/>
              </w:rPr>
            </w:pPr>
            <w:r>
              <w:rPr>
                <w:rFonts w:hint="eastAsia"/>
                <w:sz w:val="24"/>
                <w:lang w:eastAsia="zh-CN"/>
              </w:rPr>
              <w:t>维保期</w:t>
            </w:r>
          </w:p>
          <w:p w14:paraId="0223E862">
            <w:pPr>
              <w:jc w:val="center"/>
              <w:rPr>
                <w:rFonts w:hint="eastAsia"/>
                <w:lang w:eastAsia="zh-CN"/>
              </w:rPr>
            </w:pPr>
            <w:r>
              <w:rPr>
                <w:rFonts w:hint="eastAsia"/>
                <w:sz w:val="24"/>
                <w:lang w:eastAsia="zh-CN"/>
              </w:rPr>
              <w:t>（至少</w:t>
            </w:r>
            <w:r>
              <w:rPr>
                <w:rFonts w:hint="eastAsia"/>
                <w:sz w:val="24"/>
                <w:lang w:val="en-US" w:eastAsia="zh-CN"/>
              </w:rPr>
              <w:t>1年</w:t>
            </w:r>
            <w:r>
              <w:rPr>
                <w:rFonts w:hint="eastAsia"/>
                <w:sz w:val="24"/>
                <w:lang w:eastAsia="zh-CN"/>
              </w:rPr>
              <w:t>）</w:t>
            </w:r>
          </w:p>
        </w:tc>
        <w:tc>
          <w:tcPr>
            <w:tcW w:w="4841" w:type="dxa"/>
            <w:vAlign w:val="center"/>
          </w:tcPr>
          <w:p w14:paraId="65B7E2A3">
            <w:pPr>
              <w:spacing w:line="500" w:lineRule="exact"/>
              <w:jc w:val="center"/>
              <w:rPr>
                <w:rFonts w:hint="default" w:ascii="宋体"/>
                <w:sz w:val="24"/>
                <w:lang w:val="en-US" w:eastAsia="zh-CN"/>
              </w:rPr>
            </w:pPr>
            <w:r>
              <w:rPr>
                <w:rFonts w:hint="eastAsia" w:ascii="宋体"/>
                <w:sz w:val="24"/>
                <w:u w:val="single"/>
                <w:lang w:val="en-US" w:eastAsia="zh-CN"/>
              </w:rPr>
              <w:t xml:space="preserve">          </w:t>
            </w:r>
            <w:r>
              <w:rPr>
                <w:rFonts w:hint="eastAsia" w:ascii="宋体"/>
                <w:sz w:val="24"/>
                <w:lang w:val="en-US" w:eastAsia="zh-CN"/>
              </w:rPr>
              <w:t>年</w:t>
            </w:r>
          </w:p>
        </w:tc>
      </w:tr>
    </w:tbl>
    <w:p w14:paraId="2F66EB8A">
      <w:pPr>
        <w:spacing w:line="480" w:lineRule="auto"/>
        <w:ind w:firstLine="354" w:firstLineChars="147"/>
        <w:rPr>
          <w:rFonts w:ascii="宋体" w:cs="宋体"/>
          <w:b/>
          <w:sz w:val="24"/>
          <w:u w:val="single"/>
        </w:rPr>
      </w:pPr>
      <w:r>
        <w:rPr>
          <w:rFonts w:hint="eastAsia" w:ascii="宋体" w:hAnsi="宋体" w:cs="宋体"/>
          <w:b/>
          <w:sz w:val="24"/>
        </w:rPr>
        <w:t>供应商名称（盖章）</w:t>
      </w:r>
      <w:r>
        <w:rPr>
          <w:rFonts w:ascii="宋体" w:hAnsi="宋体" w:cs="宋体"/>
          <w:b/>
          <w:sz w:val="24"/>
        </w:rPr>
        <w:t xml:space="preserve"> </w:t>
      </w:r>
      <w:r>
        <w:rPr>
          <w:rFonts w:hint="eastAsia" w:ascii="宋体" w:hAnsi="宋体" w:cs="宋体"/>
          <w:b/>
          <w:sz w:val="24"/>
        </w:rPr>
        <w:t>：</w:t>
      </w:r>
    </w:p>
    <w:p w14:paraId="086F1F6C">
      <w:pPr>
        <w:spacing w:line="480" w:lineRule="auto"/>
        <w:ind w:firstLine="354" w:firstLineChars="147"/>
        <w:rPr>
          <w:rFonts w:hAnsi="宋体" w:cs="宋体"/>
          <w:b/>
          <w:sz w:val="24"/>
        </w:rPr>
      </w:pPr>
      <w:r>
        <w:rPr>
          <w:rFonts w:hint="eastAsia" w:ascii="宋体" w:hAnsi="宋体" w:cs="宋体"/>
          <w:b/>
          <w:sz w:val="24"/>
        </w:rPr>
        <w:t>法定代表人或授权代表签字：</w:t>
      </w:r>
    </w:p>
    <w:p w14:paraId="458243C0">
      <w:pPr>
        <w:spacing w:line="480" w:lineRule="auto"/>
        <w:ind w:firstLine="352" w:firstLineChars="147"/>
        <w:rPr>
          <w:rFonts w:hint="default"/>
          <w:color w:val="auto"/>
          <w:sz w:val="24"/>
          <w:szCs w:val="24"/>
          <w:lang w:val="en-US" w:eastAsia="zh-CN"/>
        </w:rPr>
      </w:pP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2M2ZhZTEwNDlkYWNkNGI0MTU4NzYyNGM3NGYwZTQifQ=="/>
  </w:docVars>
  <w:rsids>
    <w:rsidRoot w:val="00000000"/>
    <w:rsid w:val="02A227A1"/>
    <w:rsid w:val="043878C6"/>
    <w:rsid w:val="046D5CD0"/>
    <w:rsid w:val="04BF4C64"/>
    <w:rsid w:val="04FE4B79"/>
    <w:rsid w:val="05D615C1"/>
    <w:rsid w:val="06206E7E"/>
    <w:rsid w:val="072C5EA8"/>
    <w:rsid w:val="092D50C7"/>
    <w:rsid w:val="0A7C50CD"/>
    <w:rsid w:val="0D1B1BF6"/>
    <w:rsid w:val="0D2437B9"/>
    <w:rsid w:val="0DDC3A38"/>
    <w:rsid w:val="0EDB6D55"/>
    <w:rsid w:val="0F077FA2"/>
    <w:rsid w:val="0F221A78"/>
    <w:rsid w:val="13546543"/>
    <w:rsid w:val="16F70EB5"/>
    <w:rsid w:val="191A5004"/>
    <w:rsid w:val="1A313A8E"/>
    <w:rsid w:val="1B5468F6"/>
    <w:rsid w:val="1C380F26"/>
    <w:rsid w:val="1DFF13B1"/>
    <w:rsid w:val="1F352F93"/>
    <w:rsid w:val="243C45BC"/>
    <w:rsid w:val="28920DC2"/>
    <w:rsid w:val="28E924BD"/>
    <w:rsid w:val="2C8A649C"/>
    <w:rsid w:val="2D6825AD"/>
    <w:rsid w:val="30E42337"/>
    <w:rsid w:val="31481E02"/>
    <w:rsid w:val="32BE6D34"/>
    <w:rsid w:val="332A453A"/>
    <w:rsid w:val="34C719E7"/>
    <w:rsid w:val="374A05A7"/>
    <w:rsid w:val="384D42A5"/>
    <w:rsid w:val="3A451DB4"/>
    <w:rsid w:val="3C0A781C"/>
    <w:rsid w:val="411E653D"/>
    <w:rsid w:val="42E842E2"/>
    <w:rsid w:val="4B5F07FC"/>
    <w:rsid w:val="4C1C20FA"/>
    <w:rsid w:val="51A234FE"/>
    <w:rsid w:val="52A907F9"/>
    <w:rsid w:val="54901979"/>
    <w:rsid w:val="54CF2BB0"/>
    <w:rsid w:val="5CDE7853"/>
    <w:rsid w:val="5D6773B1"/>
    <w:rsid w:val="600A348E"/>
    <w:rsid w:val="606856F7"/>
    <w:rsid w:val="623D494F"/>
    <w:rsid w:val="641F4E2B"/>
    <w:rsid w:val="64A51E4B"/>
    <w:rsid w:val="66652D12"/>
    <w:rsid w:val="6675282C"/>
    <w:rsid w:val="68A652DE"/>
    <w:rsid w:val="6C6D117C"/>
    <w:rsid w:val="6C7A7016"/>
    <w:rsid w:val="6EDC65DD"/>
    <w:rsid w:val="701C5563"/>
    <w:rsid w:val="7133708A"/>
    <w:rsid w:val="715576D5"/>
    <w:rsid w:val="72A5086F"/>
    <w:rsid w:val="73AE23F9"/>
    <w:rsid w:val="74995C85"/>
    <w:rsid w:val="78C57A52"/>
    <w:rsid w:val="7A2C2C21"/>
    <w:rsid w:val="7B5F033E"/>
    <w:rsid w:val="7D0E78F4"/>
    <w:rsid w:val="7D6363DE"/>
    <w:rsid w:val="7FAF1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autoRedefine/>
    <w:unhideWhenUsed/>
    <w:qFormat/>
    <w:uiPriority w:val="39"/>
    <w:pPr>
      <w:keepNext w:val="0"/>
      <w:keepLines w:val="0"/>
      <w:widowControl w:val="0"/>
      <w:suppressLineNumbers w:val="0"/>
      <w:spacing w:before="0" w:beforeAutospacing="0" w:after="0" w:afterAutospacing="0"/>
      <w:ind w:left="0" w:right="0"/>
      <w:jc w:val="both"/>
    </w:pPr>
    <w:rPr>
      <w:rFonts w:hint="eastAsia" w:ascii="宋体" w:hAnsi="Times New Roman" w:eastAsia="宋体" w:cs="Times New Roman"/>
      <w:kern w:val="2"/>
      <w:sz w:val="28"/>
      <w:szCs w:val="28"/>
      <w:lang w:val="en-US" w:eastAsia="zh-CN" w:bidi="ar"/>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autoRedefine/>
    <w:qFormat/>
    <w:uiPriority w:val="34"/>
    <w:pPr>
      <w:ind w:firstLine="420" w:firstLineChars="200"/>
    </w:pPr>
  </w:style>
  <w:style w:type="paragraph" w:customStyle="1" w:styleId="11">
    <w:name w:val="正文首行缩进2字符"/>
    <w:basedOn w:val="1"/>
    <w:qFormat/>
    <w:uiPriority w:val="0"/>
    <w:pPr>
      <w:spacing w:line="360" w:lineRule="auto"/>
      <w:ind w:firstLine="420" w:firstLineChars="20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1622</Words>
  <Characters>1680</Characters>
  <Lines>0</Lines>
  <Paragraphs>0</Paragraphs>
  <TotalTime>6</TotalTime>
  <ScaleCrop>false</ScaleCrop>
  <LinksUpToDate>false</LinksUpToDate>
  <CharactersWithSpaces>1761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2022-05-16T08:55:00Z</dcterms:created>
  <dc:creator>Administrator.BF-20200609AMBW</dc:creator>
  <cp:lastModifiedBy>-24℃</cp:lastModifiedBy>
  <cp:lastPrinted>2024-07-25T02:12:00Z</cp:lastPrinted>
  <dcterms:modified xsi:type="dcterms:W3CDTF">2024-12-11T08:55:55Z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1A32217DCD074CC092C9A6F3C209F1A0_13</vt:lpwstr>
  </property>
</Properties>
</file>