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A729F">
      <w:pPr>
        <w:numPr>
          <w:ilvl w:val="0"/>
          <w:numId w:val="0"/>
        </w:numPr>
        <w:jc w:val="center"/>
        <w:rPr>
          <w:rFonts w:hint="eastAsia"/>
          <w:sz w:val="28"/>
          <w:szCs w:val="28"/>
          <w:lang w:val="en-US" w:eastAsia="zh-CN"/>
        </w:rPr>
      </w:pPr>
      <w:r>
        <w:rPr>
          <w:rFonts w:hint="eastAsia" w:ascii="方正小标宋简体" w:hAnsi="方正小标宋简体" w:eastAsia="方正小标宋简体" w:cs="方正小标宋简体"/>
          <w:b/>
          <w:bCs/>
          <w:sz w:val="28"/>
          <w:szCs w:val="28"/>
          <w:lang w:val="en-US" w:eastAsia="zh-CN"/>
        </w:rPr>
        <w:t>供应商须知</w:t>
      </w:r>
    </w:p>
    <w:p w14:paraId="175E7505">
      <w:pPr>
        <w:numPr>
          <w:ilvl w:val="0"/>
          <w:numId w:val="0"/>
        </w:numPr>
        <w:rPr>
          <w:rFonts w:hint="eastAsia"/>
          <w:b/>
          <w:bCs/>
          <w:sz w:val="24"/>
          <w:szCs w:val="24"/>
          <w:lang w:val="en-US" w:eastAsia="zh-CN"/>
        </w:rPr>
      </w:pPr>
      <w:r>
        <w:rPr>
          <w:rFonts w:hint="eastAsia"/>
          <w:b/>
          <w:bCs/>
          <w:sz w:val="24"/>
          <w:szCs w:val="24"/>
          <w:lang w:val="en-US" w:eastAsia="zh-CN"/>
        </w:rPr>
        <w:t>一、供应商须提供证明材料</w:t>
      </w:r>
    </w:p>
    <w:p w14:paraId="679B7FD3">
      <w:pPr>
        <w:pStyle w:val="6"/>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1、营业执照（复印件加盖公章）</w:t>
      </w:r>
      <w:r>
        <w:rPr>
          <w:rFonts w:hint="eastAsia" w:hAnsi="宋体" w:cs="宋体"/>
          <w:sz w:val="24"/>
          <w:szCs w:val="24"/>
          <w:highlight w:val="none"/>
          <w:vertAlign w:val="baseline"/>
          <w:lang w:val="en-US" w:eastAsia="zh-CN"/>
        </w:rPr>
        <w:t>；</w:t>
      </w:r>
    </w:p>
    <w:p w14:paraId="284BDB6F">
      <w:pPr>
        <w:pStyle w:val="6"/>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2、法定代表人授权委托书及授权代表身份证复印件；</w:t>
      </w:r>
    </w:p>
    <w:p w14:paraId="72496672">
      <w:pPr>
        <w:pStyle w:val="6"/>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3、报价表</w:t>
      </w:r>
    </w:p>
    <w:p w14:paraId="6BD70129">
      <w:pPr>
        <w:pStyle w:val="6"/>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4、评分细则中相关资料</w:t>
      </w:r>
    </w:p>
    <w:p w14:paraId="38E86681">
      <w:pPr>
        <w:rPr>
          <w:rFonts w:hint="default"/>
          <w:lang w:val="en-US" w:eastAsia="zh-CN"/>
        </w:rPr>
      </w:pPr>
      <w:r>
        <w:rPr>
          <w:rFonts w:hint="eastAsia" w:ascii="宋体" w:hAnsi="宋体" w:eastAsia="宋体" w:cs="宋体"/>
          <w:sz w:val="24"/>
          <w:szCs w:val="24"/>
          <w:highlight w:val="none"/>
          <w:vertAlign w:val="baseline"/>
          <w:lang w:val="en-US" w:eastAsia="zh-CN"/>
        </w:rPr>
        <w:t>5、资料真实性承诺函</w:t>
      </w:r>
    </w:p>
    <w:p w14:paraId="7148BA53">
      <w:pPr>
        <w:numPr>
          <w:ilvl w:val="0"/>
          <w:numId w:val="0"/>
        </w:numPr>
        <w:rPr>
          <w:rFonts w:hint="eastAsia"/>
          <w:b/>
          <w:bCs/>
          <w:sz w:val="24"/>
          <w:szCs w:val="24"/>
          <w:u w:val="single"/>
          <w:lang w:val="en-US" w:eastAsia="zh-CN"/>
        </w:rPr>
      </w:pPr>
      <w:r>
        <w:rPr>
          <w:rFonts w:hint="eastAsia"/>
          <w:b/>
          <w:bCs/>
          <w:sz w:val="24"/>
          <w:szCs w:val="24"/>
          <w:u w:val="single"/>
          <w:lang w:val="en-US" w:eastAsia="zh-CN"/>
        </w:rPr>
        <w:t>按以上要求提供证相关证件及资料各一份、不可缺项，按顺序装订。</w:t>
      </w:r>
    </w:p>
    <w:p w14:paraId="0931EFF8">
      <w:pPr>
        <w:numPr>
          <w:ilvl w:val="0"/>
          <w:numId w:val="0"/>
        </w:numPr>
        <w:rPr>
          <w:rFonts w:hint="eastAsia"/>
          <w:sz w:val="24"/>
          <w:szCs w:val="24"/>
          <w:lang w:val="en-US" w:eastAsia="zh-CN"/>
        </w:rPr>
      </w:pPr>
    </w:p>
    <w:p w14:paraId="06935601">
      <w:pPr>
        <w:numPr>
          <w:ilvl w:val="0"/>
          <w:numId w:val="0"/>
        </w:numPr>
        <w:rPr>
          <w:rFonts w:hint="eastAsia"/>
          <w:b/>
          <w:bCs/>
          <w:sz w:val="24"/>
          <w:szCs w:val="24"/>
          <w:lang w:val="en-US" w:eastAsia="zh-CN"/>
        </w:rPr>
      </w:pPr>
      <w:r>
        <w:rPr>
          <w:rFonts w:hint="eastAsia"/>
          <w:b/>
          <w:bCs/>
          <w:sz w:val="24"/>
          <w:szCs w:val="24"/>
          <w:lang w:val="en-US" w:eastAsia="zh-CN"/>
        </w:rPr>
        <w:t>二、供应商须满足以下要求</w:t>
      </w:r>
    </w:p>
    <w:p w14:paraId="1568D1B2">
      <w:pPr>
        <w:numPr>
          <w:ilvl w:val="0"/>
          <w:numId w:val="0"/>
        </w:numPr>
        <w:rPr>
          <w:rFonts w:hint="eastAsia"/>
          <w:sz w:val="24"/>
          <w:szCs w:val="24"/>
          <w:lang w:val="en-US" w:eastAsia="zh-CN"/>
        </w:rPr>
      </w:pPr>
      <w:r>
        <w:rPr>
          <w:rFonts w:hint="eastAsia"/>
          <w:sz w:val="24"/>
          <w:szCs w:val="24"/>
          <w:lang w:val="en-US" w:eastAsia="zh-CN"/>
        </w:rPr>
        <w:t>1、付款方式：银行转账，签订合同，验收合格后，</w:t>
      </w:r>
      <w:r>
        <w:rPr>
          <w:rFonts w:hint="eastAsia"/>
          <w:color w:val="auto"/>
          <w:sz w:val="24"/>
          <w:szCs w:val="24"/>
          <w:lang w:val="en-US" w:eastAsia="zh-CN"/>
        </w:rPr>
        <w:t>按照实际工作量，据实结算</w:t>
      </w:r>
      <w:r>
        <w:rPr>
          <w:rFonts w:hint="eastAsia"/>
          <w:sz w:val="24"/>
          <w:szCs w:val="24"/>
          <w:lang w:val="en-US" w:eastAsia="zh-CN"/>
        </w:rPr>
        <w:t>。</w:t>
      </w:r>
    </w:p>
    <w:p w14:paraId="79299784">
      <w:pPr>
        <w:numPr>
          <w:ilvl w:val="0"/>
          <w:numId w:val="0"/>
        </w:numPr>
        <w:rPr>
          <w:rFonts w:hint="default"/>
          <w:sz w:val="24"/>
          <w:szCs w:val="24"/>
          <w:lang w:val="en-US" w:eastAsia="zh-CN"/>
        </w:rPr>
      </w:pPr>
      <w:r>
        <w:rPr>
          <w:rFonts w:hint="eastAsia"/>
          <w:sz w:val="24"/>
          <w:szCs w:val="24"/>
          <w:lang w:val="en-US" w:eastAsia="zh-CN"/>
        </w:rPr>
        <w:t>2、工期：25天</w:t>
      </w:r>
    </w:p>
    <w:p w14:paraId="6C6C10A2">
      <w:pPr>
        <w:numPr>
          <w:ilvl w:val="0"/>
          <w:numId w:val="0"/>
        </w:numPr>
        <w:rPr>
          <w:rFonts w:hint="eastAsia"/>
          <w:sz w:val="24"/>
          <w:szCs w:val="24"/>
          <w:lang w:val="en-US" w:eastAsia="zh-CN"/>
        </w:rPr>
      </w:pPr>
      <w:r>
        <w:rPr>
          <w:rFonts w:hint="eastAsia"/>
          <w:sz w:val="24"/>
          <w:szCs w:val="24"/>
          <w:lang w:val="en-US" w:eastAsia="zh-CN"/>
        </w:rPr>
        <w:t>3、报价为一次性报价（人民币）。包括人工费、材料费、整理费、税费等所需的一切费用。</w:t>
      </w:r>
    </w:p>
    <w:p w14:paraId="558E51CA">
      <w:pPr>
        <w:pStyle w:val="6"/>
        <w:rPr>
          <w:rFonts w:hint="eastAsia"/>
          <w:b w:val="0"/>
          <w:bCs w:val="0"/>
          <w:sz w:val="24"/>
          <w:szCs w:val="24"/>
          <w:lang w:val="en-US" w:eastAsia="zh-CN"/>
        </w:rPr>
      </w:pPr>
      <w:r>
        <w:rPr>
          <w:rFonts w:hint="default" w:asciiTheme="minorAscii" w:hAnsiTheme="minorAscii"/>
          <w:b w:val="0"/>
          <w:bCs w:val="0"/>
          <w:sz w:val="24"/>
          <w:szCs w:val="24"/>
          <w:lang w:val="en-US" w:eastAsia="zh-CN"/>
        </w:rPr>
        <w:t>4、</w:t>
      </w:r>
      <w:r>
        <w:rPr>
          <w:rFonts w:hint="eastAsia"/>
          <w:b w:val="0"/>
          <w:bCs w:val="0"/>
          <w:sz w:val="24"/>
          <w:szCs w:val="24"/>
          <w:lang w:val="en-US" w:eastAsia="zh-CN"/>
        </w:rPr>
        <w:t>服务内容及相关要求</w:t>
      </w:r>
    </w:p>
    <w:p w14:paraId="0341BD2A">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聘请专业档案公司整理医院1980年至2023年的文书、图片影像资料、财务年报等规定入档案馆资料的校对、修改、扫描前后处理(包括拆卷、编写页码、拆除卷内金属物、平整褶皱、案卷恢复装订等)、目录录入、档案扫描、图像处理、质检、个别破损页面修复；</w:t>
      </w:r>
    </w:p>
    <w:p w14:paraId="04B80F35">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（2）档案装具更换；</w:t>
      </w:r>
    </w:p>
    <w:p w14:paraId="5D63FEF4">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（3）1980年至2023年全宗指南、大事记、组织沿革编研；</w:t>
      </w:r>
    </w:p>
    <w:p w14:paraId="2C12DA6D">
      <w:pPr>
        <w:numPr>
          <w:ilvl w:val="0"/>
          <w:numId w:val="1"/>
        </w:num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数据挂接、数据验收、数据备份（光盘和硬盘备份）；</w:t>
      </w:r>
    </w:p>
    <w:p w14:paraId="51D747D2">
      <w:pPr>
        <w:numPr>
          <w:ilvl w:val="0"/>
          <w:numId w:val="1"/>
        </w:num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其它门类档案（照片档案、实物档案）的数字化加工（根据实际档案征集情况据实整理）；</w:t>
      </w:r>
    </w:p>
    <w:p w14:paraId="4F47B7B0">
      <w:pPr>
        <w:numPr>
          <w:ilvl w:val="0"/>
          <w:numId w:val="1"/>
        </w:num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单机版档案管理系统；</w:t>
      </w:r>
    </w:p>
    <w:p w14:paraId="2A2E4D04">
      <w:pPr>
        <w:pStyle w:val="6"/>
        <w:ind w:firstLine="480" w:firstLineChars="200"/>
        <w:rPr>
          <w:rFonts w:hint="eastAsia"/>
          <w:sz w:val="24"/>
          <w:szCs w:val="24"/>
          <w:lang w:val="en-US" w:eastAsia="zh-CN"/>
        </w:rPr>
      </w:pPr>
      <w:r>
        <w:rPr>
          <w:rFonts w:hint="eastAsia"/>
          <w:sz w:val="24"/>
          <w:szCs w:val="24"/>
          <w:lang w:val="en-US" w:eastAsia="zh-CN"/>
        </w:rPr>
        <w:t>（7）按照档案馆规定整理纸质版、电子版档案资料，符合档案规范，完成入馆；</w:t>
      </w:r>
    </w:p>
    <w:p w14:paraId="09F3BB38">
      <w:pPr>
        <w:pStyle w:val="6"/>
        <w:ind w:firstLine="480" w:firstLineChars="200"/>
        <w:rPr>
          <w:rFonts w:hint="eastAsia"/>
          <w:sz w:val="24"/>
          <w:szCs w:val="24"/>
          <w:lang w:val="en-US" w:eastAsia="zh-CN"/>
        </w:rPr>
      </w:pPr>
      <w:r>
        <w:rPr>
          <w:rFonts w:hint="eastAsia"/>
          <w:sz w:val="24"/>
          <w:szCs w:val="24"/>
          <w:lang w:val="en-US" w:eastAsia="zh-CN"/>
        </w:rPr>
        <w:t>（8）服务提供方提供相关档案设备设施；</w:t>
      </w:r>
    </w:p>
    <w:p w14:paraId="7F121C01">
      <w:pPr>
        <w:ind w:firstLine="480" w:firstLineChars="200"/>
        <w:rPr>
          <w:rFonts w:hint="default"/>
          <w:sz w:val="24"/>
          <w:szCs w:val="24"/>
          <w:lang w:val="en-US" w:eastAsia="zh-CN"/>
        </w:rPr>
      </w:pPr>
      <w:r>
        <w:rPr>
          <w:rFonts w:hint="eastAsia" w:ascii="宋体" w:hAnsi="宋体" w:eastAsia="宋体" w:cs="宋体"/>
          <w:sz w:val="24"/>
          <w:szCs w:val="24"/>
          <w:lang w:val="en-US" w:eastAsia="zh-CN"/>
        </w:rPr>
        <w:t>（9）</w:t>
      </w:r>
      <w:r>
        <w:rPr>
          <w:rFonts w:hint="default"/>
          <w:sz w:val="24"/>
          <w:szCs w:val="24"/>
          <w:lang w:val="en-US" w:eastAsia="zh-CN"/>
        </w:rPr>
        <w:t>档案盒</w:t>
      </w:r>
      <w:r>
        <w:rPr>
          <w:rFonts w:hint="eastAsia"/>
          <w:sz w:val="24"/>
          <w:szCs w:val="24"/>
          <w:lang w:val="en-US" w:eastAsia="zh-CN"/>
        </w:rPr>
        <w:t>要求</w:t>
      </w:r>
    </w:p>
    <w:p w14:paraId="6ED45599">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①档案盒封面应标明全宗名称。档案盒的外形尺寸为310mmx220mm(长x宽)，盒脊厚度可以根据需要设置为20mm、30mm、40mm、50mm等；</w:t>
      </w:r>
    </w:p>
    <w:p w14:paraId="71100B1C">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②档案盒应根据摆放方式的不同，在盒脊或底边设置全宗号、年度、保管期限、起止件号、盒号等必备项，并可设置机构(问题)等选择项。其中起止件号填写盒内第一件文件和最后一件文件的件号，起件号填写在上格，止件号填写在下格；盒号即档案盒的排列顺序号:按进馆要求在档案盒盒脊或底边编制；</w:t>
      </w:r>
    </w:p>
    <w:p w14:paraId="4D9FBEA2">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③档案盒应采用无酸纸制作。</w:t>
      </w:r>
    </w:p>
    <w:p w14:paraId="6016CE9C">
      <w:pPr>
        <w:rPr>
          <w:rFonts w:hint="eastAsia"/>
          <w:lang w:eastAsia="zh-CN"/>
        </w:rPr>
      </w:pPr>
    </w:p>
    <w:p w14:paraId="483C1F24">
      <w:pPr>
        <w:pStyle w:val="6"/>
        <w:rPr>
          <w:rFonts w:hint="eastAsia" w:hAnsi="宋体" w:cs="宋体"/>
          <w:b/>
          <w:bCs/>
          <w:sz w:val="24"/>
          <w:szCs w:val="24"/>
          <w:lang w:val="en-US" w:eastAsia="zh-CN"/>
        </w:rPr>
      </w:pPr>
    </w:p>
    <w:p w14:paraId="0F97F5D1">
      <w:pPr>
        <w:rPr>
          <w:rFonts w:hint="eastAsia" w:hAnsi="宋体" w:cs="宋体"/>
          <w:b/>
          <w:bCs/>
          <w:sz w:val="24"/>
          <w:szCs w:val="24"/>
          <w:lang w:val="en-US" w:eastAsia="zh-CN"/>
        </w:rPr>
      </w:pPr>
      <w:r>
        <w:rPr>
          <w:rFonts w:hint="eastAsia" w:hAnsi="宋体" w:cs="宋体"/>
          <w:b/>
          <w:bCs/>
          <w:sz w:val="24"/>
          <w:szCs w:val="24"/>
          <w:lang w:val="en-US" w:eastAsia="zh-CN"/>
        </w:rPr>
        <w:br w:type="page"/>
      </w:r>
    </w:p>
    <w:p w14:paraId="720AC973">
      <w:pPr>
        <w:pStyle w:val="6"/>
        <w:rPr>
          <w:rFonts w:hint="eastAsia" w:hAnsi="宋体" w:cs="宋体"/>
          <w:b/>
          <w:bCs/>
          <w:sz w:val="24"/>
          <w:szCs w:val="24"/>
          <w:lang w:val="en-US" w:eastAsia="zh-CN"/>
        </w:rPr>
      </w:pPr>
      <w:r>
        <w:rPr>
          <w:rFonts w:hint="eastAsia" w:hAnsi="宋体" w:cs="宋体"/>
          <w:b/>
          <w:bCs/>
          <w:sz w:val="24"/>
          <w:szCs w:val="24"/>
          <w:lang w:val="en-US" w:eastAsia="zh-CN"/>
        </w:rPr>
        <w:t>三、评分细则（10分）</w:t>
      </w:r>
    </w:p>
    <w:tbl>
      <w:tblPr>
        <w:tblStyle w:val="9"/>
        <w:tblW w:w="8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8"/>
        <w:gridCol w:w="3217"/>
        <w:gridCol w:w="4265"/>
      </w:tblGrid>
      <w:tr w14:paraId="29D0A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160" w:type="dxa"/>
            <w:gridSpan w:val="3"/>
            <w:tcBorders>
              <w:top w:val="nil"/>
              <w:left w:val="nil"/>
              <w:bottom w:val="nil"/>
              <w:right w:val="nil"/>
            </w:tcBorders>
            <w:shd w:val="clear" w:color="auto" w:fill="auto"/>
            <w:noWrap/>
            <w:vAlign w:val="center"/>
          </w:tcPr>
          <w:p w14:paraId="141E1E53">
            <w:pPr>
              <w:keepNext w:val="0"/>
              <w:keepLines w:val="0"/>
              <w:widowControl/>
              <w:suppressLineNumbers w:val="0"/>
              <w:jc w:val="left"/>
              <w:textAlignment w:val="center"/>
              <w:rPr>
                <w:rFonts w:ascii="方正小标宋简体" w:hAnsi="方正小标宋简体" w:eastAsia="方正小标宋简体" w:cs="方正小标宋简体"/>
                <w:b/>
                <w:bCs/>
                <w:i w:val="0"/>
                <w:iCs w:val="0"/>
                <w:color w:val="000000"/>
                <w:sz w:val="28"/>
                <w:szCs w:val="28"/>
                <w:u w:val="none"/>
              </w:rPr>
            </w:pPr>
          </w:p>
        </w:tc>
      </w:tr>
      <w:tr w14:paraId="43AB6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1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序</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14A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评分项目及标准</w:t>
            </w:r>
          </w:p>
        </w:tc>
        <w:tc>
          <w:tcPr>
            <w:tcW w:w="4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C7B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评分方法</w:t>
            </w:r>
          </w:p>
        </w:tc>
      </w:tr>
      <w:tr w14:paraId="2559E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8" w:hRule="atLeast"/>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64C9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一</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BFA00">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4"/>
                <w:szCs w:val="24"/>
                <w:highlight w:val="none"/>
                <w:u w:val="none"/>
                <w:lang w:val="en-US" w:eastAsia="zh-CN" w:bidi="ar"/>
              </w:rPr>
              <w:t>报价 3分</w:t>
            </w:r>
          </w:p>
        </w:tc>
        <w:tc>
          <w:tcPr>
            <w:tcW w:w="4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A8E8C">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报价最低的供应商的价格为基准价，其价格分为满分。其他供应商的价格分统一按照下列公式计算:</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报价得分=(基准价/最后报价)*30%*10</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注:小数点后保留2位有效数字</w:t>
            </w:r>
          </w:p>
        </w:tc>
      </w:tr>
      <w:tr w14:paraId="2630B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6" w:hRule="atLeast"/>
        </w:trPr>
        <w:tc>
          <w:tcPr>
            <w:tcW w:w="678" w:type="dxa"/>
            <w:tcBorders>
              <w:top w:val="single" w:color="000000" w:sz="4" w:space="0"/>
              <w:left w:val="single" w:color="000000" w:sz="4" w:space="0"/>
              <w:right w:val="single" w:color="000000" w:sz="4" w:space="0"/>
            </w:tcBorders>
            <w:shd w:val="clear" w:color="auto" w:fill="auto"/>
            <w:noWrap/>
            <w:vAlign w:val="center"/>
          </w:tcPr>
          <w:p w14:paraId="6A7B64B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lang w:eastAsia="zh-CN"/>
              </w:rPr>
              <w:t>二</w:t>
            </w:r>
          </w:p>
        </w:tc>
        <w:tc>
          <w:tcPr>
            <w:tcW w:w="3217" w:type="dxa"/>
            <w:tcBorders>
              <w:top w:val="single" w:color="000000" w:sz="4" w:space="0"/>
              <w:left w:val="single" w:color="000000" w:sz="4" w:space="0"/>
              <w:right w:val="single" w:color="000000" w:sz="4" w:space="0"/>
            </w:tcBorders>
            <w:shd w:val="clear" w:color="auto" w:fill="auto"/>
            <w:vAlign w:val="center"/>
          </w:tcPr>
          <w:p w14:paraId="6B56E41C">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技术方案</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6分</w:t>
            </w:r>
          </w:p>
        </w:tc>
        <w:tc>
          <w:tcPr>
            <w:tcW w:w="4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7979">
            <w:pPr>
              <w:keepNext w:val="0"/>
              <w:keepLines w:val="0"/>
              <w:widowControl/>
              <w:numPr>
                <w:ilvl w:val="0"/>
                <w:numId w:val="2"/>
              </w:numPr>
              <w:suppressLineNumbers w:val="0"/>
              <w:jc w:val="both"/>
              <w:textAlignment w:val="center"/>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eastAsia="zh-CN"/>
              </w:rPr>
              <w:t>根据供应商提供的本公司档案整理流程工作制度及工作人员的岗位职责</w:t>
            </w:r>
            <w:r>
              <w:rPr>
                <w:rFonts w:hint="eastAsia" w:ascii="宋体" w:hAnsi="宋体" w:eastAsia="宋体" w:cs="Times New Roman"/>
                <w:sz w:val="24"/>
                <w:szCs w:val="24"/>
                <w:highlight w:val="none"/>
              </w:rPr>
              <w:t>等情况综合评分</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lang w:val="en-US" w:eastAsia="zh-CN"/>
              </w:rPr>
              <w:t>0-3分</w:t>
            </w:r>
            <w:r>
              <w:rPr>
                <w:rFonts w:hint="eastAsia" w:ascii="宋体" w:hAnsi="宋体" w:eastAsia="宋体" w:cs="Times New Roman"/>
                <w:sz w:val="24"/>
                <w:szCs w:val="24"/>
                <w:highlight w:val="none"/>
                <w:lang w:eastAsia="zh-CN"/>
              </w:rPr>
              <w:t>）</w:t>
            </w:r>
          </w:p>
          <w:p w14:paraId="020E304B">
            <w:pPr>
              <w:keepNext w:val="0"/>
              <w:keepLines w:val="0"/>
              <w:widowControl/>
              <w:numPr>
                <w:ilvl w:val="0"/>
                <w:numId w:val="0"/>
              </w:numPr>
              <w:suppressLineNumbers w:val="0"/>
              <w:ind w:leftChars="0"/>
              <w:jc w:val="both"/>
              <w:textAlignment w:val="center"/>
              <w:rPr>
                <w:rFonts w:hint="default"/>
                <w:lang w:val="en-US" w:eastAsia="zh-CN"/>
              </w:rPr>
            </w:pPr>
            <w:r>
              <w:rPr>
                <w:rFonts w:hint="eastAsia" w:ascii="宋体" w:hAnsi="宋体" w:eastAsia="宋体" w:cs="宋体"/>
                <w:sz w:val="24"/>
                <w:szCs w:val="24"/>
                <w:lang w:val="en-US" w:eastAsia="zh-CN"/>
              </w:rPr>
              <w:t>2.根据聊城市眼科医院的档案情况提供具体可实施性方案进行综合评分（0-3分）</w:t>
            </w:r>
          </w:p>
        </w:tc>
      </w:tr>
      <w:tr w14:paraId="09228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1" w:hRule="atLeast"/>
        </w:trPr>
        <w:tc>
          <w:tcPr>
            <w:tcW w:w="678"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0A40C2D0">
            <w:pPr>
              <w:jc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lang w:eastAsia="zh-CN"/>
              </w:rPr>
              <w:t>三</w:t>
            </w:r>
          </w:p>
        </w:tc>
        <w:tc>
          <w:tcPr>
            <w:tcW w:w="3217" w:type="dxa"/>
            <w:tcBorders>
              <w:top w:val="single" w:color="auto" w:sz="4" w:space="0"/>
              <w:left w:val="single" w:color="000000" w:sz="4" w:space="0"/>
              <w:bottom w:val="single" w:color="auto" w:sz="4" w:space="0"/>
              <w:right w:val="single" w:color="000000" w:sz="4" w:space="0"/>
            </w:tcBorders>
            <w:shd w:val="clear" w:color="auto" w:fill="auto"/>
            <w:vAlign w:val="center"/>
          </w:tcPr>
          <w:p w14:paraId="25C793E0">
            <w:pPr>
              <w:keepNext w:val="0"/>
              <w:keepLines w:val="0"/>
              <w:widowControl/>
              <w:suppressLineNumbers w:val="0"/>
              <w:jc w:val="left"/>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其他1分</w:t>
            </w:r>
          </w:p>
        </w:tc>
        <w:tc>
          <w:tcPr>
            <w:tcW w:w="4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EFED">
            <w:pPr>
              <w:keepNext w:val="0"/>
              <w:keepLines w:val="0"/>
              <w:widowControl/>
              <w:numPr>
                <w:ilvl w:val="0"/>
                <w:numId w:val="3"/>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根据供应商提供的本公司保密资质证明文件进行评分，提供得0.5分，不提供不得分。</w:t>
            </w:r>
            <w:bookmarkStart w:id="0" w:name="_GoBack"/>
            <w:bookmarkEnd w:id="0"/>
          </w:p>
          <w:p w14:paraId="24A1EC05">
            <w:pPr>
              <w:keepNext w:val="0"/>
              <w:keepLines w:val="0"/>
              <w:widowControl/>
              <w:numPr>
                <w:ilvl w:val="0"/>
                <w:numId w:val="3"/>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根据供应商提供的本公司2023年以来同类型业绩进行评分。（需提供同类业绩合同复印件并加盖公章，提供得0.5分，不提供不得分。）</w:t>
            </w:r>
          </w:p>
        </w:tc>
      </w:tr>
    </w:tbl>
    <w:p w14:paraId="7E848018">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DC185"/>
    <w:multiLevelType w:val="singleLevel"/>
    <w:tmpl w:val="EBFDC185"/>
    <w:lvl w:ilvl="0" w:tentative="0">
      <w:start w:val="1"/>
      <w:numFmt w:val="decimal"/>
      <w:lvlText w:val="%1."/>
      <w:lvlJc w:val="left"/>
      <w:pPr>
        <w:tabs>
          <w:tab w:val="left" w:pos="312"/>
        </w:tabs>
      </w:pPr>
    </w:lvl>
  </w:abstractNum>
  <w:abstractNum w:abstractNumId="1">
    <w:nsid w:val="0491F536"/>
    <w:multiLevelType w:val="singleLevel"/>
    <w:tmpl w:val="0491F536"/>
    <w:lvl w:ilvl="0" w:tentative="0">
      <w:start w:val="1"/>
      <w:numFmt w:val="decimal"/>
      <w:lvlText w:val="%1."/>
      <w:lvlJc w:val="left"/>
      <w:pPr>
        <w:tabs>
          <w:tab w:val="left" w:pos="312"/>
        </w:tabs>
      </w:pPr>
    </w:lvl>
  </w:abstractNum>
  <w:abstractNum w:abstractNumId="2">
    <w:nsid w:val="41C89451"/>
    <w:multiLevelType w:val="singleLevel"/>
    <w:tmpl w:val="41C89451"/>
    <w:lvl w:ilvl="0" w:tentative="0">
      <w:start w:val="4"/>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xNTNjYmQ3M2IxZGYyZmFmOWFjMzgwYWRiMGZlM2UifQ=="/>
  </w:docVars>
  <w:rsids>
    <w:rsidRoot w:val="00000000"/>
    <w:rsid w:val="02A227A1"/>
    <w:rsid w:val="04BF4C64"/>
    <w:rsid w:val="04D07A99"/>
    <w:rsid w:val="05D615C1"/>
    <w:rsid w:val="07AC58F7"/>
    <w:rsid w:val="07F53098"/>
    <w:rsid w:val="092D50C7"/>
    <w:rsid w:val="0A7C50CD"/>
    <w:rsid w:val="0C122A1C"/>
    <w:rsid w:val="0DDC3A38"/>
    <w:rsid w:val="0E3619E5"/>
    <w:rsid w:val="0E6E3FCD"/>
    <w:rsid w:val="0EDB6D55"/>
    <w:rsid w:val="0F077FA2"/>
    <w:rsid w:val="0F221A78"/>
    <w:rsid w:val="13546543"/>
    <w:rsid w:val="140B6C50"/>
    <w:rsid w:val="141455AC"/>
    <w:rsid w:val="145726AC"/>
    <w:rsid w:val="16F70EB5"/>
    <w:rsid w:val="17422338"/>
    <w:rsid w:val="1F352F93"/>
    <w:rsid w:val="22E90ADA"/>
    <w:rsid w:val="240D009B"/>
    <w:rsid w:val="2679483C"/>
    <w:rsid w:val="28920DC2"/>
    <w:rsid w:val="28E924BD"/>
    <w:rsid w:val="2C8A649C"/>
    <w:rsid w:val="2D6825AD"/>
    <w:rsid w:val="2E054DE1"/>
    <w:rsid w:val="2E2C790E"/>
    <w:rsid w:val="31481E02"/>
    <w:rsid w:val="332A453A"/>
    <w:rsid w:val="345A5CDB"/>
    <w:rsid w:val="34C719E7"/>
    <w:rsid w:val="366811DF"/>
    <w:rsid w:val="373B322B"/>
    <w:rsid w:val="374A05A7"/>
    <w:rsid w:val="384D42A5"/>
    <w:rsid w:val="3A451DB4"/>
    <w:rsid w:val="3B2E2848"/>
    <w:rsid w:val="3DEA7A83"/>
    <w:rsid w:val="411E653D"/>
    <w:rsid w:val="41EB4958"/>
    <w:rsid w:val="42E842E2"/>
    <w:rsid w:val="43543211"/>
    <w:rsid w:val="454C0E3A"/>
    <w:rsid w:val="489E2FB0"/>
    <w:rsid w:val="4B5F07FC"/>
    <w:rsid w:val="4C1C20FA"/>
    <w:rsid w:val="4F8D0A98"/>
    <w:rsid w:val="508922D5"/>
    <w:rsid w:val="51A234FE"/>
    <w:rsid w:val="51C75A28"/>
    <w:rsid w:val="52A907F9"/>
    <w:rsid w:val="54901979"/>
    <w:rsid w:val="55F02C95"/>
    <w:rsid w:val="5A6D4817"/>
    <w:rsid w:val="5C937179"/>
    <w:rsid w:val="5CDE7853"/>
    <w:rsid w:val="5D6773B1"/>
    <w:rsid w:val="5E786464"/>
    <w:rsid w:val="6063700B"/>
    <w:rsid w:val="606856F7"/>
    <w:rsid w:val="63951767"/>
    <w:rsid w:val="64007AE3"/>
    <w:rsid w:val="641F4E2B"/>
    <w:rsid w:val="64A51E4B"/>
    <w:rsid w:val="66652D12"/>
    <w:rsid w:val="6675282C"/>
    <w:rsid w:val="67ED4F8A"/>
    <w:rsid w:val="68A652DE"/>
    <w:rsid w:val="6AC1415C"/>
    <w:rsid w:val="6C7A7016"/>
    <w:rsid w:val="6D21195D"/>
    <w:rsid w:val="6EDC65DD"/>
    <w:rsid w:val="701C5563"/>
    <w:rsid w:val="7133708A"/>
    <w:rsid w:val="715576D5"/>
    <w:rsid w:val="726946AF"/>
    <w:rsid w:val="72A5086F"/>
    <w:rsid w:val="72EF0983"/>
    <w:rsid w:val="73AE23F9"/>
    <w:rsid w:val="74995C85"/>
    <w:rsid w:val="78C57A52"/>
    <w:rsid w:val="798A7692"/>
    <w:rsid w:val="7A2C2C21"/>
    <w:rsid w:val="7B5F033E"/>
    <w:rsid w:val="7BCB5364"/>
    <w:rsid w:val="7C1F720B"/>
    <w:rsid w:val="7D0E78F4"/>
    <w:rsid w:val="7D6363DE"/>
    <w:rsid w:val="7DF0760A"/>
    <w:rsid w:val="7FAF1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99"/>
    <w:pPr>
      <w:jc w:val="center"/>
    </w:pPr>
    <w:rPr>
      <w:rFonts w:ascii="楷体_GB2312" w:eastAsia="楷体_GB2312"/>
      <w:b/>
      <w:sz w:val="24"/>
    </w:rPr>
  </w:style>
  <w:style w:type="paragraph" w:styleId="3">
    <w:name w:val="Body Text Indent"/>
    <w:basedOn w:val="1"/>
    <w:next w:val="1"/>
    <w:autoRedefine/>
    <w:semiHidden/>
    <w:unhideWhenUsed/>
    <w:qFormat/>
    <w:uiPriority w:val="99"/>
    <w:pPr>
      <w:spacing w:after="120"/>
      <w:ind w:left="420" w:leftChars="200"/>
    </w:pPr>
  </w:style>
  <w:style w:type="paragraph" w:styleId="4">
    <w:name w:val="footer"/>
    <w:basedOn w:val="1"/>
    <w:autoRedefine/>
    <w:qFormat/>
    <w:uiPriority w:val="99"/>
    <w:pPr>
      <w:tabs>
        <w:tab w:val="center" w:pos="4153"/>
        <w:tab w:val="right" w:pos="8306"/>
      </w:tabs>
      <w:snapToGrid w:val="0"/>
      <w:jc w:val="left"/>
    </w:pPr>
    <w:rPr>
      <w:sz w:val="18"/>
      <w:szCs w:val="18"/>
    </w:rPr>
  </w:style>
  <w:style w:type="paragraph" w:styleId="5">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unhideWhenUsed/>
    <w:qFormat/>
    <w:uiPriority w:val="39"/>
    <w:pPr>
      <w:keepNext w:val="0"/>
      <w:keepLines w:val="0"/>
      <w:widowControl w:val="0"/>
      <w:suppressLineNumbers w:val="0"/>
      <w:spacing w:before="0" w:beforeAutospacing="0" w:after="0" w:afterAutospacing="0"/>
      <w:ind w:left="0" w:right="0"/>
      <w:jc w:val="both"/>
    </w:pPr>
    <w:rPr>
      <w:rFonts w:hint="eastAsia" w:ascii="宋体" w:hAnsi="Times New Roman" w:eastAsia="宋体" w:cs="Times New Roman"/>
      <w:kern w:val="2"/>
      <w:sz w:val="28"/>
      <w:szCs w:val="28"/>
      <w:lang w:val="en-US" w:eastAsia="zh-CN" w:bidi="ar"/>
    </w:rPr>
  </w:style>
  <w:style w:type="paragraph" w:styleId="7">
    <w:name w:val="Body Text First Indent"/>
    <w:basedOn w:val="2"/>
    <w:autoRedefine/>
    <w:qFormat/>
    <w:uiPriority w:val="0"/>
    <w:pPr>
      <w:spacing w:after="120"/>
      <w:ind w:firstLine="420" w:firstLineChars="100"/>
      <w:jc w:val="both"/>
    </w:pPr>
    <w:rPr>
      <w:sz w:val="21"/>
      <w:szCs w:val="24"/>
    </w:rPr>
  </w:style>
  <w:style w:type="paragraph" w:styleId="8">
    <w:name w:val="Body Text First Indent 2"/>
    <w:basedOn w:val="3"/>
    <w:autoRedefine/>
    <w:unhideWhenUsed/>
    <w:qFormat/>
    <w:uiPriority w:val="99"/>
    <w:pPr>
      <w:ind w:firstLine="420" w:firstLineChars="200"/>
    </w:p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982</Words>
  <Characters>1043</Characters>
  <Lines>0</Lines>
  <Paragraphs>0</Paragraphs>
  <TotalTime>6</TotalTime>
  <ScaleCrop>false</ScaleCrop>
  <LinksUpToDate>false</LinksUpToDate>
  <CharactersWithSpaces>1044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2022-05-16T08:55:00Z</dcterms:created>
  <dc:creator>Administrator.BF-20200609AMBW</dc:creator>
  <cp:lastModifiedBy>-24℃</cp:lastModifiedBy>
  <cp:lastPrinted>2024-09-27T09:20:00Z</cp:lastPrinted>
  <dcterms:modified xsi:type="dcterms:W3CDTF">2024-09-29T00:33:39Z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1EBBCDC8D940406F8CBF89C4C9048195_13</vt:lpwstr>
  </property>
</Properties>
</file>